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EFCB72" w14:textId="77777777" w:rsidR="003578C3" w:rsidRDefault="003578C3" w:rsidP="003578C3">
      <w:r>
        <w:rPr>
          <w:cs/>
        </w:rPr>
        <w:t>ลำดับที่ 0004</w:t>
      </w:r>
    </w:p>
    <w:p w14:paraId="4E5CA14A" w14:textId="77777777" w:rsidR="003578C3" w:rsidRDefault="003578C3" w:rsidP="003578C3">
      <w:r>
        <w:rPr>
          <w:cs/>
        </w:rPr>
        <w:t>หัวข้อเรื่อง เงินประกันการเช่าและเบี้ยปรับตามสัญญาเช่า</w:t>
      </w:r>
    </w:p>
    <w:p w14:paraId="52A47BA8" w14:textId="77777777" w:rsidR="003578C3" w:rsidRDefault="003578C3" w:rsidP="003578C3">
      <w:r>
        <w:rPr>
          <w:cs/>
        </w:rPr>
        <w:t>วิเคราะห์ฎีกาที่ 4932/2541</w:t>
      </w:r>
    </w:p>
    <w:p w14:paraId="0B28CBD4" w14:textId="77777777" w:rsidR="003578C3" w:rsidRDefault="003578C3" w:rsidP="003578C3">
      <w:r>
        <w:rPr>
          <w:cs/>
        </w:rPr>
        <w:t>วิเคราะห์คำพิพากษาฎีกา โดยทนายภูวงษ์ ปรึกษากฎหมาย ปรึกษาคดีความ โทร. 0818034097</w:t>
      </w:r>
    </w:p>
    <w:p w14:paraId="372037CB" w14:textId="77777777" w:rsidR="003578C3" w:rsidRDefault="003578C3" w:rsidP="003578C3">
      <w:r>
        <w:rPr>
          <w:cs/>
        </w:rPr>
        <w:t>กฎหมายเกี่ยวกับอะไร ประมวลกฎหมายแพ่งและพาณิชย์ มาตรา 222</w:t>
      </w:r>
      <w:r>
        <w:t xml:space="preserve">, </w:t>
      </w:r>
      <w:r>
        <w:rPr>
          <w:cs/>
        </w:rPr>
        <w:t>377</w:t>
      </w:r>
      <w:r>
        <w:t xml:space="preserve">, </w:t>
      </w:r>
      <w:r>
        <w:rPr>
          <w:cs/>
        </w:rPr>
        <w:t>378</w:t>
      </w:r>
      <w:r>
        <w:t xml:space="preserve">, </w:t>
      </w:r>
      <w:r>
        <w:rPr>
          <w:cs/>
        </w:rPr>
        <w:t>379</w:t>
      </w:r>
      <w:r>
        <w:t xml:space="preserve">, </w:t>
      </w:r>
      <w:r>
        <w:rPr>
          <w:cs/>
        </w:rPr>
        <w:t>381</w:t>
      </w:r>
      <w:r>
        <w:t xml:space="preserve">, </w:t>
      </w:r>
      <w:r>
        <w:rPr>
          <w:cs/>
        </w:rPr>
        <w:t>383</w:t>
      </w:r>
    </w:p>
    <w:p w14:paraId="6A092DED" w14:textId="77777777" w:rsidR="003578C3" w:rsidRDefault="003578C3" w:rsidP="003578C3"/>
    <w:p w14:paraId="7D33CC5D" w14:textId="77777777" w:rsidR="003578C3" w:rsidRDefault="003578C3" w:rsidP="003578C3">
      <w:r>
        <w:rPr>
          <w:cs/>
        </w:rPr>
        <w:t>วิเคราะห์คำพิพากษาฎีกาเลขที่ 4932/2541</w:t>
      </w:r>
    </w:p>
    <w:p w14:paraId="473401DF" w14:textId="77777777" w:rsidR="003578C3" w:rsidRDefault="003578C3" w:rsidP="003578C3">
      <w:r>
        <w:rPr>
          <w:cs/>
        </w:rPr>
        <w:t>ข้อเท็จจริง</w:t>
      </w:r>
    </w:p>
    <w:p w14:paraId="3138AC0B" w14:textId="77777777" w:rsidR="003578C3" w:rsidRDefault="003578C3" w:rsidP="003578C3">
      <w:r>
        <w:rPr>
          <w:cs/>
        </w:rPr>
        <w:t>ในคดีนี้มีสัญญาเช่าระหว่างโจทก์ (ผู้ให้เช่า) และจำเลย (ผู้เช่า) ซึ่งกำหนดให้มีการวางเงินประกันการเช่าและเงินค่าชดเชยกรณียกเลิกสัญญาเช่าก่อนกำหนด โดยหากจำเลยผิดนัดหรือไม่แจ้งล่วงหน้า 3 เดือนเป็นลายลักษณ์อักษร โจทก์มีสิทธิริบเงินประกันและเงินชดเชยนั้น</w:t>
      </w:r>
    </w:p>
    <w:p w14:paraId="662CE847" w14:textId="77777777" w:rsidR="003578C3" w:rsidRDefault="003578C3" w:rsidP="003578C3"/>
    <w:p w14:paraId="63D7D42B" w14:textId="77777777" w:rsidR="003578C3" w:rsidRDefault="003578C3" w:rsidP="003578C3">
      <w:r>
        <w:rPr>
          <w:cs/>
        </w:rPr>
        <w:t>ข้อกฎหมายและดุลพินิจของศาล</w:t>
      </w:r>
    </w:p>
    <w:p w14:paraId="69F3506F" w14:textId="77777777" w:rsidR="003578C3" w:rsidRDefault="003578C3" w:rsidP="003578C3">
      <w:r>
        <w:rPr>
          <w:cs/>
        </w:rPr>
        <w:t>ศาลวินิจฉัยว่า</w:t>
      </w:r>
    </w:p>
    <w:p w14:paraId="366191DC" w14:textId="77777777" w:rsidR="003578C3" w:rsidRDefault="003578C3" w:rsidP="003578C3">
      <w:r>
        <w:rPr>
          <w:cs/>
        </w:rPr>
        <w:t xml:space="preserve"> • เงินประกันการเช่าและเงินค่าชดเชยการยกเลิกสัญญาเช่าก่อนกำหนดนั้น แม้จะเรียกชื่อแตกต่างกัน แต่มีลักษณะเป็น เบี้ยปรับ ทั้งคู่ตามมาตรา 379</w:t>
      </w:r>
      <w:r>
        <w:t xml:space="preserve">, </w:t>
      </w:r>
      <w:r>
        <w:rPr>
          <w:cs/>
        </w:rPr>
        <w:t>381 เพราะเป็นเงินที่ตกลงกันไว้ล่วงหน้าเพื่อใช้กรณีจำเลยผิดสัญญา</w:t>
      </w:r>
    </w:p>
    <w:p w14:paraId="58256F1A" w14:textId="77777777" w:rsidR="003578C3" w:rsidRDefault="003578C3" w:rsidP="003578C3">
      <w:r>
        <w:rPr>
          <w:cs/>
        </w:rPr>
        <w:t xml:space="preserve"> • การริบเบี้ยปรับทั้งสองกรณีจากเหตุเดียวกัน (จำเลยไม่แจ้งเลิกสัญญาล่วงหน้า) เป็น การริบเบี้ยปรับซ้ำซ้อนกัน</w:t>
      </w:r>
    </w:p>
    <w:p w14:paraId="2F240B8B" w14:textId="77777777" w:rsidR="003578C3" w:rsidRDefault="003578C3" w:rsidP="003578C3">
      <w:r>
        <w:rPr>
          <w:cs/>
        </w:rPr>
        <w:t xml:space="preserve"> • เมื่อพิจารณาทางได้เสียของโจทก์แล้ว ศาลเห็นว่าเบี้ยปรับนั้น สูงเกินส่วน จึงอาศัยอำนาจตาม มาตรา 383 ให้ลดเบี้ยปรับลง โดยให้ริบเฉพาะ เงินค่าชดเชยการยกเลิกสัญญาเช่าก่อนครบกำหนด เท่านั้น</w:t>
      </w:r>
    </w:p>
    <w:p w14:paraId="14DB97D5" w14:textId="77777777" w:rsidR="003578C3" w:rsidRDefault="003578C3" w:rsidP="003578C3">
      <w:r>
        <w:rPr>
          <w:cs/>
        </w:rPr>
        <w:t xml:space="preserve"> • สำหรับค่าเสียหายอื่นที่โจทก์เรียกร้อง เช่น ค่าตกแต่งอาคาร และค่าที่ต้องจ่ายให้บริษัทอื่นก่อนทำสัญญากับจำเลยนั้น ศาลเห็นว่าเป็น ค่าใช้จ่ายที่เกิดก่อนทำสัญญา และไม่ได้กำหนดไว้ในสัญญาเช่า จึงไม่ใช่ค่าสินไหมทดแทนตามมาตรา 222</w:t>
      </w:r>
    </w:p>
    <w:p w14:paraId="475C9308" w14:textId="77777777" w:rsidR="003578C3" w:rsidRDefault="003578C3" w:rsidP="003578C3">
      <w:r>
        <w:rPr>
          <w:cs/>
        </w:rPr>
        <w:lastRenderedPageBreak/>
        <w:t xml:space="preserve"> • ส่วนดอกเบี้ยเงินมัดจำ 8.5 ล้านบาท แม้ไม่ได้รับดอกเบี้ย แต่ มาตรา 378 ไม่ได้ให้สิทธิเรียกดอกเบี้ย จึงเรียกไม่ได้</w:t>
      </w:r>
    </w:p>
    <w:p w14:paraId="45816CC7" w14:textId="77777777" w:rsidR="003578C3" w:rsidRDefault="003578C3" w:rsidP="003578C3">
      <w:r>
        <w:rPr>
          <w:cs/>
        </w:rPr>
        <w:t xml:space="preserve"> • เงินจำนวน 1.7 ล้านบาท แม้เรียกว่า “มัดจำ” แต่ไม่เข้าเกณฑ์ตามมาตรา 377 เพราะมิใช่เงินเพื่อให้เข้าทำสัญญา จึงต้องปฏิบัติตามข้อกำหนดในสัญญาซึ่งระบุให้คืนเมื่อไม่มีหนี้ค้างค่าโทรศัพท์ โจทก์มีสิทธินำหักเฉพาะค่าโทรศัพท์ได้เท่านั้น</w:t>
      </w:r>
    </w:p>
    <w:p w14:paraId="1136E417" w14:textId="77777777" w:rsidR="003578C3" w:rsidRDefault="003578C3" w:rsidP="003578C3"/>
    <w:p w14:paraId="01D8F903" w14:textId="77777777" w:rsidR="003578C3" w:rsidRDefault="003578C3" w:rsidP="003578C3">
      <w:r>
        <w:rPr>
          <w:cs/>
        </w:rPr>
        <w:t>สรุปคำพิพากษา</w:t>
      </w:r>
    </w:p>
    <w:p w14:paraId="7BD59378" w14:textId="77777777" w:rsidR="003578C3" w:rsidRDefault="003578C3" w:rsidP="003578C3">
      <w:r>
        <w:rPr>
          <w:cs/>
        </w:rPr>
        <w:t>ศาลฎีกาวินิจฉัยว่า</w:t>
      </w:r>
    </w:p>
    <w:p w14:paraId="4B876951" w14:textId="77777777" w:rsidR="003578C3" w:rsidRDefault="003578C3" w:rsidP="003578C3">
      <w:r>
        <w:rPr>
          <w:cs/>
        </w:rPr>
        <w:t xml:space="preserve"> • เงินประกันการเช่าและเงินค่าชดเชยกรณียกเลิกสัญญาก่อนกำหนดมีลักษณะเป็นเบี้ยปรับ</w:t>
      </w:r>
    </w:p>
    <w:p w14:paraId="24E0299C" w14:textId="77777777" w:rsidR="003578C3" w:rsidRDefault="003578C3" w:rsidP="003578C3">
      <w:r>
        <w:rPr>
          <w:cs/>
        </w:rPr>
        <w:t xml:space="preserve"> • ไม่อาจเรียกทั้งสองรายการพร้อมกันได้เพราะเป็นเบี้ยปรับซ้ำซ้อน</w:t>
      </w:r>
    </w:p>
    <w:p w14:paraId="46A90FB3" w14:textId="77777777" w:rsidR="003578C3" w:rsidRDefault="003578C3" w:rsidP="003578C3">
      <w:r>
        <w:rPr>
          <w:cs/>
        </w:rPr>
        <w:t xml:space="preserve"> • ศาลจึงลดเบี้ยปรับตามสมควร เหลือเพียงเงินค่าชดเชยการเลิกสัญญา</w:t>
      </w:r>
    </w:p>
    <w:p w14:paraId="5ECC318C" w14:textId="77777777" w:rsidR="003578C3" w:rsidRDefault="003578C3" w:rsidP="003578C3">
      <w:r>
        <w:rPr>
          <w:cs/>
        </w:rPr>
        <w:t xml:space="preserve"> • ค่าเสียหายเชิงธุรกิจและดอกเบี้ยเงินมัดจำไม่ได้ตามกฎหมาย</w:t>
      </w:r>
    </w:p>
    <w:p w14:paraId="5A95BACC" w14:textId="77777777" w:rsidR="003578C3" w:rsidRDefault="003578C3" w:rsidP="003578C3">
      <w:r>
        <w:rPr>
          <w:cs/>
        </w:rPr>
        <w:t xml:space="preserve"> • เงิน 1.7 ล้านบาทไม่ถือเป็น “มัดจำ” ตามมาตรา 377 แต่ต้องคืนตามสัญญา โดยหักเฉพาะค่าบำรุงโทรศัพท์ได้</w:t>
      </w:r>
    </w:p>
    <w:p w14:paraId="3D2C1660" w14:textId="77777777" w:rsidR="003578C3" w:rsidRDefault="003578C3" w:rsidP="003578C3"/>
    <w:p w14:paraId="0BA16E00" w14:textId="5F633ACA" w:rsidR="002B6232" w:rsidRDefault="003578C3" w:rsidP="003578C3">
      <w:r>
        <w:rPr>
          <w:cs/>
        </w:rPr>
        <w:t>หากท่านหรือบุคคลที่ท่านรู้จักประสบปัญหาในลักษณะนี้ ติดต่อ ทนายภูวงษ์ 081-803-4097 เพื่อขอคำปรึกษากฎหมายและคดีความ ค้นหาโพสต์ทั้งหมดได้ที่ คำถามที่ปรึกษาบ่อยใน</w:t>
      </w:r>
      <w:proofErr w:type="spellStart"/>
      <w:r>
        <w:rPr>
          <w:cs/>
        </w:rPr>
        <w:t>เวป</w:t>
      </w:r>
      <w:proofErr w:type="spellEnd"/>
      <w:r>
        <w:rPr>
          <w:cs/>
        </w:rPr>
        <w:t>ไซ</w:t>
      </w:r>
      <w:proofErr w:type="spellStart"/>
      <w:r>
        <w:rPr>
          <w:cs/>
        </w:rPr>
        <w:t>ต์</w:t>
      </w:r>
      <w:proofErr w:type="spellEnd"/>
      <w:r>
        <w:rPr>
          <w:cs/>
        </w:rPr>
        <w:t xml:space="preserve"> </w:t>
      </w:r>
      <w:r>
        <w:t>www.</w:t>
      </w:r>
      <w:r>
        <w:rPr>
          <w:cs/>
        </w:rPr>
        <w:t>สู้คดี.</w:t>
      </w:r>
      <w:r>
        <w:t xml:space="preserve">com </w:t>
      </w:r>
      <w:r>
        <w:rPr>
          <w:cs/>
        </w:rPr>
        <w:t xml:space="preserve">และ </w:t>
      </w:r>
      <w:r>
        <w:t>www.</w:t>
      </w:r>
      <w:r>
        <w:rPr>
          <w:cs/>
        </w:rPr>
        <w:t>ทนายภูวงษ์.</w:t>
      </w:r>
      <w:r>
        <w:t>com</w:t>
      </w:r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578C3"/>
    <w:rsid w:val="000554F2"/>
    <w:rsid w:val="002B6232"/>
    <w:rsid w:val="003578C3"/>
    <w:rsid w:val="005103BC"/>
    <w:rsid w:val="00A43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211211"/>
  <w15:chartTrackingRefBased/>
  <w15:docId w15:val="{D368695F-7D55-4A28-A10D-522201BA86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TH SarabunPSK"/>
        <w:kern w:val="2"/>
        <w:sz w:val="22"/>
        <w:szCs w:val="32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578C3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578C3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578C3"/>
    <w:pPr>
      <w:keepNext/>
      <w:keepLines/>
      <w:spacing w:before="120" w:after="40"/>
      <w:outlineLvl w:val="2"/>
    </w:pPr>
    <w:rPr>
      <w:rFonts w:eastAsiaTheme="majorEastAsia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578C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578C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578C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578C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578C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578C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578C3"/>
    <w:rPr>
      <w:rFonts w:asciiTheme="majorHAnsi" w:eastAsiaTheme="majorEastAsia" w:hAnsiTheme="majorHAnsi" w:cstheme="majorBidi"/>
      <w:color w:val="0F4761" w:themeColor="accent1" w:themeShade="BF"/>
      <w:sz w:val="40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578C3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578C3"/>
    <w:rPr>
      <w:rFonts w:eastAsiaTheme="majorEastAsia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578C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578C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578C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578C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578C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578C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578C3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3578C3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3578C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3578C3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3578C3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578C3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578C3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3578C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578C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578C3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578C3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339</Words>
  <Characters>1935</Characters>
  <Application>Microsoft Office Word</Application>
  <DocSecurity>0</DocSecurity>
  <Lines>16</Lines>
  <Paragraphs>4</Paragraphs>
  <ScaleCrop>false</ScaleCrop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2025-07-19T01:23:00Z</dcterms:created>
  <dcterms:modified xsi:type="dcterms:W3CDTF">2025-07-19T01:23:00Z</dcterms:modified>
</cp:coreProperties>
</file>