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C5893" w14:textId="77777777" w:rsidR="0013175C" w:rsidRDefault="0013175C" w:rsidP="0013175C">
      <w:r>
        <w:rPr>
          <w:cs/>
        </w:rPr>
        <w:t>ลำดับที่ 000120</w:t>
      </w:r>
    </w:p>
    <w:p w14:paraId="220EEB27" w14:textId="77777777" w:rsidR="0013175C" w:rsidRDefault="0013175C" w:rsidP="0013175C">
      <w:r>
        <w:rPr>
          <w:cs/>
        </w:rPr>
        <w:t>หัวข้อเรื่อง อวัยวะส่วนสำคัญและการเสียอวัยวะตามประมวลกฎหมายอาญา</w:t>
      </w:r>
    </w:p>
    <w:p w14:paraId="315FF24A" w14:textId="77777777" w:rsidR="0013175C" w:rsidRDefault="0013175C" w:rsidP="0013175C">
      <w:r>
        <w:rPr>
          <w:cs/>
        </w:rPr>
        <w:t>วิเคราะห์ฎีกาที่ 630/2509</w:t>
      </w:r>
    </w:p>
    <w:p w14:paraId="48DEC06C" w14:textId="77777777" w:rsidR="0013175C" w:rsidRDefault="0013175C" w:rsidP="0013175C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488CA46" w14:textId="77777777" w:rsidR="0013175C" w:rsidRDefault="0013175C" w:rsidP="0013175C"/>
    <w:p w14:paraId="2EC4AD82" w14:textId="77777777" w:rsidR="0013175C" w:rsidRDefault="0013175C" w:rsidP="0013175C">
      <w:r>
        <w:rPr>
          <w:cs/>
        </w:rPr>
        <w:t>กฎหมายเกี่ยวกับอะไร</w:t>
      </w:r>
    </w:p>
    <w:p w14:paraId="4A41120B" w14:textId="77777777" w:rsidR="0013175C" w:rsidRDefault="0013175C" w:rsidP="0013175C">
      <w:r>
        <w:rPr>
          <w:cs/>
        </w:rPr>
        <w:t>เกี่ยวกับความผิดฐานทำร้ายร่างกายผู้อื่นเป็นเหตุให้ได้รับอันตรายสาหัส ตามประมวลกฎหมายอาญา มาตรา 297(3) โดยเฉพาะการตีความคำว่า “เสียอวัยวะส่วนสำคัญ”</w:t>
      </w:r>
    </w:p>
    <w:p w14:paraId="3D5E0437" w14:textId="77777777" w:rsidR="0013175C" w:rsidRDefault="0013175C" w:rsidP="0013175C"/>
    <w:p w14:paraId="5AD4921D" w14:textId="77777777" w:rsidR="0013175C" w:rsidRDefault="0013175C" w:rsidP="0013175C">
      <w:r>
        <w:rPr>
          <w:cs/>
        </w:rPr>
        <w:t>วิเคราะห์คำพิพากษาฎีกาเลขที่ 630/2509</w:t>
      </w:r>
    </w:p>
    <w:p w14:paraId="27F63E19" w14:textId="77777777" w:rsidR="0013175C" w:rsidRDefault="0013175C" w:rsidP="0013175C">
      <w:r>
        <w:rPr>
          <w:cs/>
        </w:rPr>
        <w:t>ข้อเท็จจริง</w:t>
      </w:r>
    </w:p>
    <w:p w14:paraId="2CB91D93" w14:textId="77777777" w:rsidR="0013175C" w:rsidRDefault="0013175C" w:rsidP="0013175C">
      <w:r>
        <w:rPr>
          <w:cs/>
        </w:rPr>
        <w:t>ผู้เสียหายถูกทำร้ายร่างกายจนฟันแท้ด้านหน้าหักไป 3 ซี่ ซึ่งเป็นผลจากการกระทำของจำเลย</w:t>
      </w:r>
    </w:p>
    <w:p w14:paraId="54B057BC" w14:textId="77777777" w:rsidR="0013175C" w:rsidRDefault="0013175C" w:rsidP="0013175C"/>
    <w:p w14:paraId="0C229E24" w14:textId="77777777" w:rsidR="0013175C" w:rsidRDefault="0013175C" w:rsidP="0013175C">
      <w:r>
        <w:rPr>
          <w:cs/>
        </w:rPr>
        <w:t>ข้อกฎหมาย</w:t>
      </w:r>
    </w:p>
    <w:p w14:paraId="27199290" w14:textId="77777777" w:rsidR="0013175C" w:rsidRDefault="0013175C" w:rsidP="0013175C">
      <w:r>
        <w:rPr>
          <w:cs/>
        </w:rPr>
        <w:t>คำว่า “อวัยวะอื่นใด” ในมาตรา 297(3) หมายถึงอวัยวะส่วนสำคัญ เช่น แขน ขา มือ เท้า นิ้ว หรือแม้กระทั่ง “ฟัน” หากพิสูจน์ได้ว่าเป็นอวัยวะส่วนสำคัญต่อการดำรงชีวิต เช่น การเคี้ยวอาหาร</w:t>
      </w:r>
    </w:p>
    <w:p w14:paraId="1B185CBB" w14:textId="77777777" w:rsidR="0013175C" w:rsidRDefault="0013175C" w:rsidP="0013175C"/>
    <w:p w14:paraId="10AA312D" w14:textId="77777777" w:rsidR="0013175C" w:rsidRDefault="0013175C" w:rsidP="0013175C">
      <w:r>
        <w:rPr>
          <w:cs/>
        </w:rPr>
        <w:t>ดุลพินิจของศาล</w:t>
      </w:r>
    </w:p>
    <w:p w14:paraId="6C2D4A83" w14:textId="77777777" w:rsidR="0013175C" w:rsidRDefault="0013175C" w:rsidP="0013175C">
      <w:r>
        <w:rPr>
          <w:cs/>
        </w:rPr>
        <w:t>ศาลฎีกาวินิจฉัยว่า ฟันทั้งหมดในปากรวมกันถือเป็นอวัยวะส่วนสำคัญ หากฟันหักไปหลายซี่และทำให้ผู้เสียหายเคี้ยวอาหารไม่ได้ ถือว่าเป็นการเสียอวัยวะส่วนสำคัญซึ่งเป็นอันตรายสาหัส แต่ในคดีนี้ยังไม่มีพยานหลักฐานที่แสดงว่าฟันที่เหลือใช้เคี้ยวอาหารไม่ได้ จึงยังไม่อาจถือว่าเป็นการเสียอวัยวะส่วนสำคัญ</w:t>
      </w:r>
    </w:p>
    <w:p w14:paraId="20906227" w14:textId="77777777" w:rsidR="0013175C" w:rsidRDefault="0013175C" w:rsidP="0013175C"/>
    <w:p w14:paraId="5E122EA2" w14:textId="77777777" w:rsidR="0013175C" w:rsidRDefault="0013175C" w:rsidP="0013175C">
      <w:r>
        <w:rPr>
          <w:cs/>
        </w:rPr>
        <w:t>สรุปคำพิพากษา</w:t>
      </w:r>
    </w:p>
    <w:p w14:paraId="7A93ED17" w14:textId="77777777" w:rsidR="0013175C" w:rsidRDefault="0013175C" w:rsidP="0013175C">
      <w:r>
        <w:rPr>
          <w:cs/>
        </w:rPr>
        <w:t>การที่ฟันแท้หักไป 3 ซี่ ยังไม่ถือว่าเป็นการเสียอวัยวะส่วนสำคัญอันเป็นอันตรายสาหัส เว้นแต่โจทก์จะสามารถนำสืบให้เห็นว่าผู้เสียหายไม่สามารถใช้ฟันที่เหลืออยู่ในการเคี้ยวอาหารได้ กรณีจึงยังไม่เข้าองค์ประกอบความผิดตามประมวลกฎหมายอาญา มาตรา 297(3)</w:t>
      </w:r>
    </w:p>
    <w:p w14:paraId="17FB8F4F" w14:textId="77777777" w:rsidR="0013175C" w:rsidRDefault="0013175C" w:rsidP="0013175C"/>
    <w:p w14:paraId="5E68EFC8" w14:textId="28B5783B" w:rsidR="002B6232" w:rsidRDefault="0013175C" w:rsidP="0013175C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5C"/>
    <w:rsid w:val="000554F2"/>
    <w:rsid w:val="0013175C"/>
    <w:rsid w:val="002B6232"/>
    <w:rsid w:val="00A43436"/>
    <w:rsid w:val="00B7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51B3"/>
  <w15:chartTrackingRefBased/>
  <w15:docId w15:val="{4E6E2C4C-058A-4938-81D3-09B3F5D1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75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75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75C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7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7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7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7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7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75C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75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75C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7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7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75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3175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7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3175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3175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75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75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317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75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7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2025-07-23T00:10:00Z</dcterms:created>
  <dcterms:modified xsi:type="dcterms:W3CDTF">2025-07-23T00:11:00Z</dcterms:modified>
</cp:coreProperties>
</file>