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E550D" w14:textId="77777777" w:rsidR="00914ABE" w:rsidRDefault="00914ABE" w:rsidP="00914ABE">
      <w:r>
        <w:rPr>
          <w:cs/>
        </w:rPr>
        <w:t xml:space="preserve">ลำดับที่ </w:t>
      </w:r>
      <w:r>
        <w:t>000145</w:t>
      </w:r>
    </w:p>
    <w:p w14:paraId="243199DC" w14:textId="77777777" w:rsidR="00914ABE" w:rsidRDefault="00914ABE" w:rsidP="00914ABE">
      <w:r>
        <w:rPr>
          <w:cs/>
        </w:rPr>
        <w:t>หัวข้อเรื่อง ร่วมกันทำร้ายร่างกาย ไม่เข้าองค์ประกอบอันตรายสาหัส และไม่ใช่ความผิดฐานปล้นทรัพย์</w:t>
      </w:r>
    </w:p>
    <w:p w14:paraId="1DE84100" w14:textId="77777777" w:rsidR="00914ABE" w:rsidRDefault="00914ABE" w:rsidP="00914ABE">
      <w:r>
        <w:rPr>
          <w:cs/>
        </w:rPr>
        <w:t xml:space="preserve">วิเคราะห์ฎีกาที่ </w:t>
      </w:r>
      <w:r>
        <w:t>575/2548</w:t>
      </w:r>
    </w:p>
    <w:p w14:paraId="721259B0" w14:textId="77777777" w:rsidR="00914ABE" w:rsidRDefault="00914ABE" w:rsidP="00914ABE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507BA16" w14:textId="77777777" w:rsidR="00914ABE" w:rsidRDefault="00914ABE" w:rsidP="00914ABE"/>
    <w:p w14:paraId="547AAF4A" w14:textId="77777777" w:rsidR="00914ABE" w:rsidRDefault="00914ABE" w:rsidP="00914ABE">
      <w:r>
        <w:rPr>
          <w:cs/>
        </w:rPr>
        <w:t>กฎหมายเกี่ยวกับอะไร</w:t>
      </w:r>
    </w:p>
    <w:p w14:paraId="01A386CC" w14:textId="77777777" w:rsidR="00914ABE" w:rsidRDefault="00914ABE" w:rsidP="00914ABE">
      <w:r>
        <w:t xml:space="preserve">– </w:t>
      </w:r>
      <w:r>
        <w:rPr>
          <w:cs/>
        </w:rPr>
        <w:t xml:space="preserve">ประมวลกฎหมายอาญา มาตรา </w:t>
      </w:r>
      <w:r>
        <w:t>295, 297 (8), 83, 92, 93 (13)</w:t>
      </w:r>
    </w:p>
    <w:p w14:paraId="7976FC93" w14:textId="77777777" w:rsidR="00914ABE" w:rsidRDefault="00914ABE" w:rsidP="00914ABE">
      <w:r>
        <w:t xml:space="preserve">– </w:t>
      </w:r>
      <w:r>
        <w:rPr>
          <w:cs/>
        </w:rPr>
        <w:t xml:space="preserve">ประมวลกฎหมายวิธีพิจารณาความอาญา มาตรา </w:t>
      </w:r>
      <w:r>
        <w:t>185, 192</w:t>
      </w:r>
      <w:r>
        <w:rPr>
          <w:cs/>
        </w:rPr>
        <w:t xml:space="preserve"> วรรคท้าย</w:t>
      </w:r>
      <w:r>
        <w:t>, 215, 225, 227</w:t>
      </w:r>
      <w:r>
        <w:rPr>
          <w:cs/>
        </w:rPr>
        <w:t xml:space="preserve"> วรรคสอง</w:t>
      </w:r>
    </w:p>
    <w:p w14:paraId="64C483A5" w14:textId="77777777" w:rsidR="00914ABE" w:rsidRDefault="00914ABE" w:rsidP="00914ABE"/>
    <w:p w14:paraId="61FB3A10" w14:textId="77777777" w:rsidR="00914ABE" w:rsidRDefault="00914ABE" w:rsidP="00914ABE">
      <w:r>
        <w:rPr>
          <w:cs/>
        </w:rPr>
        <w:t xml:space="preserve">วิเคราะห์คำพิพากษาฎีกาเลขที่ </w:t>
      </w:r>
      <w:r>
        <w:t>575/2548</w:t>
      </w:r>
    </w:p>
    <w:p w14:paraId="7DEF71F1" w14:textId="77777777" w:rsidR="00914ABE" w:rsidRDefault="00914ABE" w:rsidP="00914ABE">
      <w:r>
        <w:rPr>
          <w:cs/>
        </w:rPr>
        <w:t>ข้อเท็จจริง</w:t>
      </w:r>
    </w:p>
    <w:p w14:paraId="65F32D99" w14:textId="77777777" w:rsidR="00914ABE" w:rsidRDefault="00914ABE" w:rsidP="00914ABE">
      <w:r>
        <w:t xml:space="preserve">– </w:t>
      </w:r>
      <w:r>
        <w:rPr>
          <w:cs/>
        </w:rPr>
        <w:t>โจทก์ฟ้องว่าจำเลยกับพวกร่วมกันปล้นทรัพย์ โดยมีการทำร้ายผู้เสียหายจนได้รับอันตรายสาหัส</w:t>
      </w:r>
    </w:p>
    <w:p w14:paraId="3D293AF2" w14:textId="77777777" w:rsidR="00914ABE" w:rsidRDefault="00914ABE" w:rsidP="00914ABE">
      <w:r>
        <w:t xml:space="preserve">– </w:t>
      </w:r>
      <w:r>
        <w:rPr>
          <w:cs/>
        </w:rPr>
        <w:t xml:space="preserve">ผลการชันสูตรของแพทย์ระบุว่าบาดแผลต้องรักษาเกิน </w:t>
      </w:r>
      <w:r>
        <w:t>21</w:t>
      </w:r>
      <w:r>
        <w:rPr>
          <w:cs/>
        </w:rPr>
        <w:t xml:space="preserve"> วัน</w:t>
      </w:r>
    </w:p>
    <w:p w14:paraId="71C7331F" w14:textId="77777777" w:rsidR="00914ABE" w:rsidRDefault="00914ABE" w:rsidP="00914ABE">
      <w:r>
        <w:t xml:space="preserve">– </w:t>
      </w:r>
      <w:r>
        <w:rPr>
          <w:cs/>
        </w:rPr>
        <w:t xml:space="preserve">แต่คำเบิกความของผู้เสียหายกลับระบุว่าแผลหายภายใน </w:t>
      </w:r>
      <w:r>
        <w:t>21</w:t>
      </w:r>
      <w:r>
        <w:rPr>
          <w:cs/>
        </w:rPr>
        <w:t xml:space="preserve"> วัน และไม่ได้ระบุว่าทุกขเวทนาเกิน </w:t>
      </w:r>
      <w:r>
        <w:t>20</w:t>
      </w:r>
      <w:r>
        <w:rPr>
          <w:cs/>
        </w:rPr>
        <w:t xml:space="preserve"> วันหรือไม่สามารถประกอบกรณียกิจได้</w:t>
      </w:r>
    </w:p>
    <w:p w14:paraId="02012AF8" w14:textId="77777777" w:rsidR="00914ABE" w:rsidRDefault="00914ABE" w:rsidP="00914ABE"/>
    <w:p w14:paraId="01DA2591" w14:textId="77777777" w:rsidR="00914ABE" w:rsidRDefault="00914ABE" w:rsidP="00914ABE">
      <w:r>
        <w:rPr>
          <w:cs/>
        </w:rPr>
        <w:t>ข้อกฎหมายและดุลพินิจของศาล</w:t>
      </w:r>
    </w:p>
    <w:p w14:paraId="28DFEB5E" w14:textId="77777777" w:rsidR="00914ABE" w:rsidRDefault="00914ABE" w:rsidP="00914ABE">
      <w:r>
        <w:t xml:space="preserve">– </w:t>
      </w:r>
      <w:r>
        <w:rPr>
          <w:cs/>
        </w:rPr>
        <w:t xml:space="preserve">ศาลเห็นว่าการหักของโหนกแก้มขวา แม้จะดูรุนแรง แต่ไม่เข้าองค์ประกอบ “อันตรายสาหัส” 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 xml:space="preserve">297 (8) </w:t>
      </w:r>
      <w:r>
        <w:rPr>
          <w:cs/>
        </w:rPr>
        <w:t xml:space="preserve">เพราะขาดหลักฐานที่ชัดเจนว่าผู้เสียหายทุกขเวทนาเกิน </w:t>
      </w:r>
      <w:r>
        <w:t>20</w:t>
      </w:r>
      <w:r>
        <w:rPr>
          <w:cs/>
        </w:rPr>
        <w:t xml:space="preserve"> วันหรือประกอบกิจวัตรประจำวันไม่ได้</w:t>
      </w:r>
    </w:p>
    <w:p w14:paraId="31554EC2" w14:textId="77777777" w:rsidR="00914ABE" w:rsidRDefault="00914ABE" w:rsidP="00914ABE">
      <w:r>
        <w:t xml:space="preserve">– </w:t>
      </w:r>
      <w:r>
        <w:rPr>
          <w:cs/>
        </w:rPr>
        <w:t xml:space="preserve">จึงเป็นเพียงความผิดฐาน “ร่วมกันทำร้ายร่างกาย” 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295</w:t>
      </w:r>
      <w:r>
        <w:rPr>
          <w:cs/>
        </w:rPr>
        <w:t xml:space="preserve"> ประกอบมาตรา </w:t>
      </w:r>
      <w:r>
        <w:t>83</w:t>
      </w:r>
    </w:p>
    <w:p w14:paraId="30BB43F7" w14:textId="77777777" w:rsidR="00914ABE" w:rsidRDefault="00914ABE" w:rsidP="00914ABE">
      <w:r>
        <w:t xml:space="preserve">– </w:t>
      </w:r>
      <w:r>
        <w:rPr>
          <w:cs/>
        </w:rPr>
        <w:t xml:space="preserve">แม้ประเด็นนี้จำเลยไม่อุทธรณ์หรือฎีกาโดยชอบ แต่ศาลฎีกายกขึ้นวินิจฉัยให้เป็นคุณแก่จำเลยได้ตาม ป.วิ.อ. มาตรา </w:t>
      </w:r>
      <w:r>
        <w:t>185</w:t>
      </w:r>
    </w:p>
    <w:p w14:paraId="1B2B2C41" w14:textId="77777777" w:rsidR="00914ABE" w:rsidRDefault="00914ABE" w:rsidP="00914ABE">
      <w:r>
        <w:t xml:space="preserve">– </w:t>
      </w:r>
      <w:r>
        <w:rPr>
          <w:cs/>
        </w:rPr>
        <w:t xml:space="preserve">ส่วนข้อหาปล้นทรัพย์นั้น พยานหลักฐานของโจทก์ยังมีความสงสัยในเจตนาของจำเลย จึงต้องยกประโยชน์แห่งความสงสัยให้จำเลย ตาม ป.วิ.อ. มาตรา </w:t>
      </w:r>
      <w:r>
        <w:t>227</w:t>
      </w:r>
      <w:r>
        <w:rPr>
          <w:cs/>
        </w:rPr>
        <w:t xml:space="preserve"> วรรคสอง</w:t>
      </w:r>
    </w:p>
    <w:p w14:paraId="624D8510" w14:textId="77777777" w:rsidR="00914ABE" w:rsidRDefault="00914ABE" w:rsidP="00914ABE">
      <w:r>
        <w:lastRenderedPageBreak/>
        <w:t xml:space="preserve">– </w:t>
      </w:r>
      <w:r>
        <w:rPr>
          <w:cs/>
        </w:rPr>
        <w:t>ไม่สามารถรับฟังได้ว่าจำเลยกระทำความผิดฐานปล้นทรัพย์</w:t>
      </w:r>
    </w:p>
    <w:p w14:paraId="52F6B3A4" w14:textId="77777777" w:rsidR="00914ABE" w:rsidRDefault="00914ABE" w:rsidP="00914ABE">
      <w:r>
        <w:t xml:space="preserve">– </w:t>
      </w:r>
      <w:r>
        <w:rPr>
          <w:cs/>
        </w:rPr>
        <w:t xml:space="preserve">แม้จำเลยเคยมีคดีปล้นทรัพย์มาก่อน แต่ไม่อาจเพิ่มโทษตาม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 xml:space="preserve">93 (13) </w:t>
      </w:r>
      <w:r>
        <w:rPr>
          <w:cs/>
        </w:rPr>
        <w:t>ได้ เพราะความผิดใหม่ไม่ใช่ฐานเดียวกัน</w:t>
      </w:r>
    </w:p>
    <w:p w14:paraId="5D568BF1" w14:textId="77777777" w:rsidR="00914ABE" w:rsidRDefault="00914ABE" w:rsidP="00914ABE">
      <w:r>
        <w:t xml:space="preserve">– </w:t>
      </w:r>
      <w:r>
        <w:rPr>
          <w:cs/>
        </w:rPr>
        <w:t xml:space="preserve">อย่างไรก็ตาม ศาลฎีกายังสามารถเพิ่มโทษได้ตาม มาตรา </w:t>
      </w:r>
      <w:r>
        <w:t>92</w:t>
      </w:r>
      <w:r>
        <w:rPr>
          <w:cs/>
        </w:rPr>
        <w:t xml:space="preserve"> ซึ่งเป็นบทที่เบากว่า หากโจทก์มิได้ฟ้องขอเพิ่มโทษในฟ้อง</w:t>
      </w:r>
    </w:p>
    <w:p w14:paraId="5C4395EF" w14:textId="77777777" w:rsidR="00914ABE" w:rsidRDefault="00914ABE" w:rsidP="00914ABE"/>
    <w:p w14:paraId="27DBD58E" w14:textId="77777777" w:rsidR="00914ABE" w:rsidRDefault="00914ABE" w:rsidP="00914ABE">
      <w:r>
        <w:rPr>
          <w:cs/>
        </w:rPr>
        <w:t>สรุปคำพิพากษา</w:t>
      </w:r>
    </w:p>
    <w:p w14:paraId="379C795C" w14:textId="77777777" w:rsidR="00914ABE" w:rsidRDefault="00914ABE" w:rsidP="00914ABE">
      <w:r>
        <w:rPr>
          <w:cs/>
        </w:rPr>
        <w:t xml:space="preserve">จำเลยกับพวกร่วมกันทำร้ายร่างกายผู้เสียหายจนได้รับอันตรายแก่กาย ไม่ถึงขั้น “อันตรายสาหัส” และไม่มีหลักฐานเพียงพอว่าเจตนาจะปล้นทรัพย์ จึงลงโทษเฉพาะความผิดฐานร่วมกันทำร้ายร่างกาย ตามมาตรา </w:t>
      </w:r>
      <w:r>
        <w:t>295</w:t>
      </w:r>
      <w:r>
        <w:rPr>
          <w:cs/>
        </w:rPr>
        <w:t xml:space="preserve"> ประกอบมาตรา </w:t>
      </w:r>
      <w:r>
        <w:t>83</w:t>
      </w:r>
      <w:r>
        <w:rPr>
          <w:cs/>
        </w:rPr>
        <w:t xml:space="preserve"> ไม่เพิ่มโทษตามมาตรา </w:t>
      </w:r>
      <w:r>
        <w:t>93</w:t>
      </w:r>
      <w:r>
        <w:rPr>
          <w:cs/>
        </w:rPr>
        <w:t xml:space="preserve"> แต่สามารถเพิ่มโทษตามมาตรา </w:t>
      </w:r>
      <w:r>
        <w:t>92</w:t>
      </w:r>
      <w:r>
        <w:rPr>
          <w:cs/>
        </w:rPr>
        <w:t xml:space="preserve"> ได้โดยศาล</w:t>
      </w:r>
    </w:p>
    <w:p w14:paraId="08E890EC" w14:textId="77777777" w:rsidR="00914ABE" w:rsidRDefault="00914ABE" w:rsidP="00914ABE"/>
    <w:p w14:paraId="774B0BF2" w14:textId="5D0C60AF" w:rsidR="002B6232" w:rsidRDefault="00914ABE" w:rsidP="00914ABE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ABE"/>
    <w:rsid w:val="000554F2"/>
    <w:rsid w:val="002B6232"/>
    <w:rsid w:val="00854421"/>
    <w:rsid w:val="00914ABE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A1F5C"/>
  <w15:chartTrackingRefBased/>
  <w15:docId w15:val="{334FFEC2-9DE4-4234-8B7F-6B54B13E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AB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4AB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4AB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4A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4A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4A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4A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4A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4A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4AB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4AB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4AB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4A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4A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4A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4A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4A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4A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4AB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14AB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4A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14AB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14AB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4AB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4AB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14A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4A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4AB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4A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2025-07-25T14:15:00Z</dcterms:created>
  <dcterms:modified xsi:type="dcterms:W3CDTF">2025-07-25T14:15:00Z</dcterms:modified>
</cp:coreProperties>
</file>