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32E56" w14:textId="77777777" w:rsidR="00C15EBC" w:rsidRDefault="00C15EBC" w:rsidP="00C15EBC">
      <w:r>
        <w:rPr>
          <w:cs/>
        </w:rPr>
        <w:t>ลำดับที่ 000162</w:t>
      </w:r>
    </w:p>
    <w:p w14:paraId="69B24C61" w14:textId="7AD8BDAB" w:rsidR="00C15EBC" w:rsidRDefault="00C15EBC" w:rsidP="00C15EBC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ผู้ถือหุ้นมีสิทธิฟ้องคดีในฐานะผู้เสียหาย กรณีกรรมการไม่แสดงรายการเงินสนับสนุนการลงทุนในงบดุลบริษัท</w:t>
      </w:r>
    </w:p>
    <w:p w14:paraId="78291328" w14:textId="77777777" w:rsidR="00C15EBC" w:rsidRDefault="00C15EBC" w:rsidP="00C15EBC">
      <w:r>
        <w:rPr>
          <w:cs/>
        </w:rPr>
        <w:t>วิเคราะห์ฎีกาที่ 9709/2544</w:t>
      </w:r>
    </w:p>
    <w:p w14:paraId="5AD0D147" w14:textId="77777777" w:rsidR="00C15EBC" w:rsidRDefault="00C15EBC" w:rsidP="00C15EBC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7F9726D" w14:textId="77777777" w:rsidR="00C15EBC" w:rsidRDefault="00C15EBC" w:rsidP="00C15EBC"/>
    <w:p w14:paraId="57A78D13" w14:textId="77777777" w:rsidR="00C15EBC" w:rsidRDefault="00C15EBC" w:rsidP="00C15EBC">
      <w:r>
        <w:rPr>
          <w:cs/>
        </w:rPr>
        <w:t>กฎหมายเกี่ยวกับอะไร</w:t>
      </w:r>
    </w:p>
    <w:p w14:paraId="51DBE4B3" w14:textId="77777777" w:rsidR="00C15EBC" w:rsidRDefault="00C15EBC" w:rsidP="00C15EBC">
      <w:r>
        <w:rPr>
          <w:cs/>
        </w:rPr>
        <w:t xml:space="preserve"> • ประมวลกฎหมายแพ่งและพาณิชย์ มาตรา 1141</w:t>
      </w:r>
    </w:p>
    <w:p w14:paraId="7BE175D9" w14:textId="77777777" w:rsidR="00C15EBC" w:rsidRDefault="00C15EBC" w:rsidP="00C15EBC">
      <w:r>
        <w:rPr>
          <w:cs/>
        </w:rPr>
        <w:t xml:space="preserve"> • พระราชบัญญัติกำหนดความผิดเกี่ยวกับห้างหุ้นส่วนจดทะเบียน ห้างหุ้นส่วนจำกัด บริษัทจำกัด สมาคม และมูลนิธิ พ.ศ. 2499 มาตรา 42 (2)</w:t>
      </w:r>
    </w:p>
    <w:p w14:paraId="13730956" w14:textId="77777777" w:rsidR="00C15EBC" w:rsidRDefault="00C15EBC" w:rsidP="00C15EBC"/>
    <w:p w14:paraId="3F39D354" w14:textId="77777777" w:rsidR="00C15EBC" w:rsidRDefault="00C15EBC" w:rsidP="00C15EBC">
      <w:r>
        <w:rPr>
          <w:cs/>
        </w:rPr>
        <w:t>วิเคราะห์คำพิพากษาฎีกาที่ 9709/2544</w:t>
      </w:r>
    </w:p>
    <w:p w14:paraId="286D0200" w14:textId="77777777" w:rsidR="00C15EBC" w:rsidRDefault="00C15EBC" w:rsidP="00C15EBC">
      <w:r>
        <w:rPr>
          <w:cs/>
        </w:rPr>
        <w:t>ข้อเท็จจริง</w:t>
      </w:r>
    </w:p>
    <w:p w14:paraId="78F29496" w14:textId="77777777" w:rsidR="00C15EBC" w:rsidRDefault="00C15EBC" w:rsidP="00C15EBC">
      <w:r>
        <w:rPr>
          <w:cs/>
        </w:rPr>
        <w:t>โจทก์เป็นผู้ถือหุ้นของบริษัทตามสมุดทะเบียนผู้ถือหุ้นที่จำเลยซึ่งเป็นกรรมการผู้จัดการลงนามรับรอง และเป็นผู้เสียหายเนื่องจากจำเลยไม่แสดงเงินสนับสนุนการลงทุนจำนวน 15,000,000 บาทในงบดุลของบริษัท แม้เงินจะรับมาแบ่งเป็นสองงวด แต่มีเจตนาเดียวกันต่อเงินทั้งหมด</w:t>
      </w:r>
    </w:p>
    <w:p w14:paraId="0D3B2F7D" w14:textId="77777777" w:rsidR="00C15EBC" w:rsidRDefault="00C15EBC" w:rsidP="00C15EBC"/>
    <w:p w14:paraId="32997E97" w14:textId="77777777" w:rsidR="00C15EBC" w:rsidRDefault="00C15EBC" w:rsidP="00C15EBC">
      <w:r>
        <w:rPr>
          <w:cs/>
        </w:rPr>
        <w:t>ข้อกฎหมายและดุลพินิจของศาล</w:t>
      </w:r>
    </w:p>
    <w:p w14:paraId="459A38D4" w14:textId="77777777" w:rsidR="00C15EBC" w:rsidRDefault="00C15EBC" w:rsidP="00C15EBC">
      <w:r>
        <w:rPr>
          <w:cs/>
        </w:rPr>
        <w:t>ศาลวินิจฉัยโดยอาศัยหลักใน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1141 ที่ให้สมุดทะเบียนผู้ถือหุ้นเป็นพยานหลักฐานที่สันนิษฐานไว้ก่อนว่าถูกต้อง เมื่อจำเลยมิได้นำสืบโต้แย้ง จึงรับฟังได้ว่า โจทก์เป็นผู้ถือหุ้นจริง</w:t>
      </w:r>
    </w:p>
    <w:p w14:paraId="4882EBEA" w14:textId="77777777" w:rsidR="00C15EBC" w:rsidRDefault="00C15EBC" w:rsidP="00C15EBC">
      <w:r>
        <w:rPr>
          <w:cs/>
        </w:rPr>
        <w:t>อีกทั้งเมื่อจำเลยรับเงินสนับสนุนเป็นงวด แต่มีเจตนาที่กระทำต่อเงินทั้งจำนวนและไม่แสดงรายการในงบดุล ณ วันสิ้นปีบัญชีเพียงครั้งเดียว ถือเป็นการกระทำกรรมเดียว</w:t>
      </w:r>
    </w:p>
    <w:p w14:paraId="61A1541C" w14:textId="77777777" w:rsidR="00C15EBC" w:rsidRDefault="00C15EBC" w:rsidP="00C15EBC">
      <w:r>
        <w:rPr>
          <w:cs/>
        </w:rPr>
        <w:t>โจทก์ในฐานะผู้ถือหุ้นซึ่งเป็นผู้เสียหาย จึงมีอำนาจฟ้องจำเลยตามมาตรา 42 (2) แห่ง พ.ร.บ. ว่าด้วยความผิดเกี่ยวกับนิติบุคคลดังกล่าว</w:t>
      </w:r>
    </w:p>
    <w:p w14:paraId="0524A9CA" w14:textId="77777777" w:rsidR="00C15EBC" w:rsidRDefault="00C15EBC" w:rsidP="00C15EBC"/>
    <w:p w14:paraId="6A926845" w14:textId="77777777" w:rsidR="00C15EBC" w:rsidRDefault="00C15EBC" w:rsidP="00C15EBC">
      <w:r>
        <w:rPr>
          <w:cs/>
        </w:rPr>
        <w:lastRenderedPageBreak/>
        <w:t>สรุปคำพิพากษา</w:t>
      </w:r>
    </w:p>
    <w:p w14:paraId="0DB7209F" w14:textId="77777777" w:rsidR="00C15EBC" w:rsidRDefault="00C15EBC" w:rsidP="00C15EBC">
      <w:r>
        <w:rPr>
          <w:cs/>
        </w:rPr>
        <w:t>เมื่อโจทก์เป็นผู้ถือหุ้นตามทะเบียนผู้ถือหุ้นที่ชอบด้วยกฎหมาย ย่อมมีสถานะเป็นผู้เสียหายโดยชอบและมีสิทธิฟ้องร้องจำเลยได้ และเมื่อจำเลยรับเงินลงทุนแต่ไม่เปิดเผยในงบดุล ถือเป็นการกระทำกรรมเดียว มีความผิดตามกฎหมายที่เกี่ยวข้องกับการบริหารบริษัทและการปกปิดข้อมูลทางบัญชี</w:t>
      </w:r>
    </w:p>
    <w:p w14:paraId="456B2969" w14:textId="77777777" w:rsidR="00C15EBC" w:rsidRDefault="00C15EBC" w:rsidP="00C15EBC"/>
    <w:p w14:paraId="3CD32A97" w14:textId="3B207D15" w:rsidR="002B6232" w:rsidRDefault="00C15EBC" w:rsidP="00C15EBC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EBC"/>
    <w:rsid w:val="00046220"/>
    <w:rsid w:val="000554F2"/>
    <w:rsid w:val="002B6232"/>
    <w:rsid w:val="00A43436"/>
    <w:rsid w:val="00C1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937D1"/>
  <w15:chartTrackingRefBased/>
  <w15:docId w15:val="{3EE05216-23A6-4421-816E-37F523C47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5EB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5EB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5EB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5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5E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5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5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5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5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EB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5EB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5EB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5E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5E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5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5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5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5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5EB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15EB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5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15EB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15EB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5EB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5EB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15E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5E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5EB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5E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2025-07-25T14:34:00Z</dcterms:created>
  <dcterms:modified xsi:type="dcterms:W3CDTF">2025-07-25T14:35:00Z</dcterms:modified>
</cp:coreProperties>
</file>