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63883" w14:textId="77777777" w:rsidR="00575450" w:rsidRDefault="00575450" w:rsidP="00575450">
      <w:r>
        <w:rPr>
          <w:cs/>
        </w:rPr>
        <w:t>ลำดับที่ 000177</w:t>
      </w:r>
    </w:p>
    <w:p w14:paraId="78D2FBAA" w14:textId="77777777" w:rsidR="00575450" w:rsidRDefault="00575450" w:rsidP="00575450">
      <w:r>
        <w:rPr>
          <w:cs/>
        </w:rPr>
        <w:t>หัวข้อเรื่อง อายุความในการโอนสิทธิเรียกร้องจากสัญญาจ้างทำของ</w:t>
      </w:r>
    </w:p>
    <w:p w14:paraId="510D8F2F" w14:textId="77777777" w:rsidR="00575450" w:rsidRDefault="00575450" w:rsidP="00575450">
      <w:r>
        <w:rPr>
          <w:cs/>
        </w:rPr>
        <w:t>วิเคราะห์ฎีกาที่ 3316/2540</w:t>
      </w:r>
    </w:p>
    <w:p w14:paraId="103AE39B" w14:textId="77777777" w:rsidR="00575450" w:rsidRDefault="00575450" w:rsidP="0057545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E3A6981" w14:textId="77777777" w:rsidR="00575450" w:rsidRDefault="00575450" w:rsidP="00575450"/>
    <w:p w14:paraId="61EE5C8B" w14:textId="77777777" w:rsidR="00575450" w:rsidRDefault="00575450" w:rsidP="00575450">
      <w:r>
        <w:rPr>
          <w:cs/>
        </w:rPr>
        <w:t>กฎหมายเกี่ยวกับอะไร</w:t>
      </w:r>
    </w:p>
    <w:p w14:paraId="106122CE" w14:textId="77777777" w:rsidR="00575450" w:rsidRDefault="00575450" w:rsidP="00575450">
      <w:r>
        <w:rPr>
          <w:cs/>
        </w:rPr>
        <w:t xml:space="preserve"> • ประมวลกฎหมายแพ่งและพาณิชย์ บรรพ 2 ลักษณะ 1 หมวด 4 (การโอนสิทธิเรียกร้อง)</w:t>
      </w:r>
    </w:p>
    <w:p w14:paraId="7980F84C" w14:textId="77777777" w:rsidR="00575450" w:rsidRDefault="00575450" w:rsidP="00575450">
      <w:r>
        <w:rPr>
          <w:cs/>
        </w:rPr>
        <w:t xml:space="preserve"> • ประมวลกฎหมายแพ่งและพาณิชย์ มาตรา 193/34(1) (อายุความ 2 ปีสำหรับค่าจ้างจากสัญญาจ้างทำของ)</w:t>
      </w:r>
    </w:p>
    <w:p w14:paraId="63C2760A" w14:textId="77777777" w:rsidR="00575450" w:rsidRDefault="00575450" w:rsidP="00575450">
      <w:r>
        <w:rPr>
          <w:cs/>
        </w:rPr>
        <w:t xml:space="preserve"> • ประมวลกฎหมายแพ่งและพาณิชย์ มาตรา 193/12 (เริ่มนับอายุความเมื่อมีสิทธิฟ้อง)</w:t>
      </w:r>
    </w:p>
    <w:p w14:paraId="36375658" w14:textId="77777777" w:rsidR="00575450" w:rsidRDefault="00575450" w:rsidP="00575450"/>
    <w:p w14:paraId="03F8395A" w14:textId="77777777" w:rsidR="00575450" w:rsidRDefault="00575450" w:rsidP="00575450">
      <w:r>
        <w:rPr>
          <w:cs/>
        </w:rPr>
        <w:t>วิเคราะห์คำพิพากษาฎีกาที่ 3316/2540</w:t>
      </w:r>
    </w:p>
    <w:p w14:paraId="64BCDAD4" w14:textId="77777777" w:rsidR="00575450" w:rsidRDefault="00575450" w:rsidP="00575450">
      <w:r>
        <w:rPr>
          <w:cs/>
        </w:rPr>
        <w:t>ข้อเท็จจริง</w:t>
      </w:r>
    </w:p>
    <w:p w14:paraId="3C23EC81" w14:textId="77777777" w:rsidR="00575450" w:rsidRDefault="00575450" w:rsidP="00575450">
      <w:r>
        <w:rPr>
          <w:cs/>
        </w:rPr>
        <w:t>ห้างหุ้นส่วนจำกัด อ. เป็นผู้ประกอบการค้า ทำสัญญาจ้างทำของกับจำเลย โดยมีสิทธิเรียกร้องค่าจ้างจากจำเลยตามงวดงานที่ได้ทำเสร็จ ต่อมาห้างหุ้นส่วนจำกัด อ. ได้โอนสิทธิเรียกร้องนี้ให้แก่โจทก์ ซึ่งฟ้องจำเลยในฐานะเจ้าหนี้รายใหม่</w:t>
      </w:r>
    </w:p>
    <w:p w14:paraId="4934E382" w14:textId="77777777" w:rsidR="00575450" w:rsidRDefault="00575450" w:rsidP="00575450"/>
    <w:p w14:paraId="0D08D97B" w14:textId="77777777" w:rsidR="00575450" w:rsidRDefault="00575450" w:rsidP="00575450">
      <w:r>
        <w:rPr>
          <w:cs/>
        </w:rPr>
        <w:t>ข้อกฎหมายและดุลพินิจของศาล</w:t>
      </w:r>
    </w:p>
    <w:p w14:paraId="278C02B3" w14:textId="77777777" w:rsidR="00575450" w:rsidRDefault="00575450" w:rsidP="00575450">
      <w:r>
        <w:rPr>
          <w:cs/>
        </w:rPr>
        <w:t>การโอนสิทธิเรียกร้องตามประมวลกฎหมายแพ่งและพาณิชย์ในหมวดว่าด้วย “การโอนสิทธิเรียกร้อง” เป็นการโอนสิทธิตามสภาพเดิมให้แก่ผู้รับโอนเข้ามาเป็นเจ้าหนี้แทน มิได้มีการเปลี่ยนแปลงสิทธิตามสัญญา ดังนั้น ลูกหนี้เดิม (จำเลย) จึงสามารถยกข้อต่อสู้เดิมที่มีต่อเจ้าหนี้เดิม (หจก.อ.) ขึ้นมาต่อสู้กับผู้รับโอน (โจทก์) ได้ รวมถึงข้อต่อสู้เรื่อง “ขาดอายุความ”</w:t>
      </w:r>
    </w:p>
    <w:p w14:paraId="41505DA7" w14:textId="77777777" w:rsidR="00575450" w:rsidRDefault="00575450" w:rsidP="00575450"/>
    <w:p w14:paraId="4325943A" w14:textId="77777777" w:rsidR="00575450" w:rsidRDefault="00575450" w:rsidP="00575450">
      <w:r>
        <w:rPr>
          <w:cs/>
        </w:rPr>
        <w:t>กรณีนี้ ศาลเห็นว่า สิทธิเรียกร้องค่าจ้างตามสัญญาจ้างทำของเข้าลักษณะเป็นค่าจ้างของผู้ประกอบการค้าตาม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193/34(1) ซึ่งมีกำหนดอายุความ 2 ปี และต้องนับอายุความจากวันที่สามารถใช้สิทธิเรียกร้องในแต่ละงวดได้ตาม มาตรา 193/12</w:t>
      </w:r>
    </w:p>
    <w:p w14:paraId="13B456A1" w14:textId="77777777" w:rsidR="00575450" w:rsidRDefault="00575450" w:rsidP="00575450"/>
    <w:p w14:paraId="086C2500" w14:textId="77777777" w:rsidR="00575450" w:rsidRDefault="00575450" w:rsidP="00575450">
      <w:r>
        <w:rPr>
          <w:cs/>
        </w:rPr>
        <w:lastRenderedPageBreak/>
        <w:t>เมื่อปรากฏว่าโจทก์ฟ้องเกินระยะเวลา 2 ปีนับแต่วันที่สิทธิเรียกร้องแต่ละงวดถึงกำหนดบังคับได้ จึงถือว่าคดีนี้ “ขาดอายุความ”</w:t>
      </w:r>
    </w:p>
    <w:p w14:paraId="37D4218E" w14:textId="77777777" w:rsidR="00575450" w:rsidRDefault="00575450" w:rsidP="00575450"/>
    <w:p w14:paraId="60181309" w14:textId="77777777" w:rsidR="00575450" w:rsidRDefault="00575450" w:rsidP="00575450">
      <w:r>
        <w:rPr>
          <w:cs/>
        </w:rPr>
        <w:t>สรุปคำพิพากษา</w:t>
      </w:r>
    </w:p>
    <w:p w14:paraId="169F20EE" w14:textId="77777777" w:rsidR="00575450" w:rsidRDefault="00575450" w:rsidP="00575450">
      <w:r>
        <w:rPr>
          <w:cs/>
        </w:rPr>
        <w:t>การโอนสิทธิเรียกร้องไม่ได้ตัดสิทธิลูกหนี้ในการยกข้อต่อสู้เรื่องอายุความ แม้โจทก์จะเป็นผู้รับโอนสิทธิเรียกร้องค่าจ้างจากเจ้าหนี้เดิม แต่เมื่อฟ้องเกินระยะเวลา 2 ปีที่กฎหมายกำหนด จึงถือว่าขาดอายุความตามกฎหมาย</w:t>
      </w:r>
    </w:p>
    <w:p w14:paraId="71BF0A13" w14:textId="77777777" w:rsidR="00575450" w:rsidRDefault="00575450" w:rsidP="00575450"/>
    <w:p w14:paraId="4641974B" w14:textId="48F25CE9" w:rsidR="002B6232" w:rsidRDefault="00575450" w:rsidP="00575450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50"/>
    <w:rsid w:val="000554F2"/>
    <w:rsid w:val="002B6232"/>
    <w:rsid w:val="00575450"/>
    <w:rsid w:val="007B074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4CB44"/>
  <w15:chartTrackingRefBased/>
  <w15:docId w15:val="{0D4F9E45-23DC-4D6A-B8CF-B28367941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45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45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45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4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45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45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45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4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4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4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4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4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4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45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7545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7545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7545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45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45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754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4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45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4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2025-07-25T23:01:00Z</dcterms:created>
  <dcterms:modified xsi:type="dcterms:W3CDTF">2025-07-25T23:02:00Z</dcterms:modified>
</cp:coreProperties>
</file>