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E2FF1" w14:textId="75DACEC1" w:rsidR="009B01E8" w:rsidRPr="009B01E8" w:rsidRDefault="009B01E8" w:rsidP="009B01E8">
      <w:r w:rsidRPr="009B01E8">
        <w:rPr>
          <w:cs/>
        </w:rPr>
        <w:t xml:space="preserve">ลำดับที่ </w:t>
      </w:r>
      <w:r w:rsidRPr="009B01E8">
        <w:t>000181</w:t>
      </w:r>
      <w:r w:rsidRPr="009B01E8">
        <w:br/>
      </w:r>
      <w:r w:rsidRPr="009B01E8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9B01E8">
        <w:rPr>
          <w:cs/>
        </w:rPr>
        <w:t>ข้อจำกัดด้านจริยธรรมของทนายความกับการรับค่าตอบแทนตามผลของคดี</w:t>
      </w:r>
    </w:p>
    <w:p w14:paraId="03E2042D" w14:textId="77777777" w:rsidR="009B01E8" w:rsidRPr="009B01E8" w:rsidRDefault="009B01E8" w:rsidP="009B01E8">
      <w:r w:rsidRPr="009B01E8">
        <w:rPr>
          <w:cs/>
        </w:rPr>
        <w:t xml:space="preserve">วิเคราะห์ฎีกาที่ </w:t>
      </w:r>
      <w:r w:rsidRPr="009B01E8">
        <w:t>1260/2543</w:t>
      </w:r>
    </w:p>
    <w:p w14:paraId="10C6DABD" w14:textId="77777777" w:rsidR="009B01E8" w:rsidRPr="009B01E8" w:rsidRDefault="009B01E8" w:rsidP="009B01E8">
      <w:r w:rsidRPr="009B01E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B01E8">
        <w:t>0818034097</w:t>
      </w:r>
    </w:p>
    <w:p w14:paraId="37C23477" w14:textId="77777777" w:rsidR="009B01E8" w:rsidRPr="009B01E8" w:rsidRDefault="009B01E8" w:rsidP="009B01E8">
      <w:r w:rsidRPr="009B01E8">
        <w:rPr>
          <w:cs/>
        </w:rPr>
        <w:t>กฎหมายเกี่ยวกับอะไร</w:t>
      </w:r>
      <w:r w:rsidRPr="009B01E8">
        <w:br/>
        <w:t xml:space="preserve">• </w:t>
      </w:r>
      <w:r w:rsidRPr="009B01E8">
        <w:rPr>
          <w:cs/>
        </w:rPr>
        <w:t xml:space="preserve">พระราชบัญญัติทนายความ พ.ศ. </w:t>
      </w:r>
      <w:r w:rsidRPr="009B01E8">
        <w:t xml:space="preserve">2528 </w:t>
      </w:r>
      <w:r w:rsidRPr="009B01E8">
        <w:rPr>
          <w:cs/>
        </w:rPr>
        <w:t xml:space="preserve">มาตรา </w:t>
      </w:r>
      <w:r w:rsidRPr="009B01E8">
        <w:t>33</w:t>
      </w:r>
      <w:r w:rsidRPr="009B01E8">
        <w:br/>
        <w:t xml:space="preserve">• </w:t>
      </w:r>
      <w:r w:rsidRPr="009B01E8">
        <w:rPr>
          <w:cs/>
        </w:rPr>
        <w:t xml:space="preserve">ข้อบังคับสภาทนายความว่าด้วยมรรยาททนายความ พ.ศ. </w:t>
      </w:r>
      <w:r w:rsidRPr="009B01E8">
        <w:t>2529</w:t>
      </w:r>
      <w:r w:rsidRPr="009B01E8">
        <w:br/>
        <w:t xml:space="preserve">• </w:t>
      </w:r>
      <w:r w:rsidRPr="009B01E8">
        <w:rPr>
          <w:cs/>
        </w:rPr>
        <w:t>ประมวลกฎหมายแพ่งและพาณิชย์ว่าด้วยความเป็นโมฆะของนิติกรรม</w:t>
      </w:r>
      <w:r w:rsidRPr="009B01E8">
        <w:br/>
        <w:t xml:space="preserve">• </w:t>
      </w:r>
      <w:r w:rsidRPr="009B01E8">
        <w:rPr>
          <w:cs/>
        </w:rPr>
        <w:t>หลักศีลธรรมอันดีของประชาชน</w:t>
      </w:r>
    </w:p>
    <w:p w14:paraId="30638EBA" w14:textId="77777777" w:rsidR="009B01E8" w:rsidRPr="009B01E8" w:rsidRDefault="009B01E8" w:rsidP="009B01E8">
      <w:r w:rsidRPr="009B01E8">
        <w:rPr>
          <w:cs/>
        </w:rPr>
        <w:t xml:space="preserve">วิเคราะห์คำพิพากษาฎีกาที่ </w:t>
      </w:r>
      <w:r w:rsidRPr="009B01E8">
        <w:t>1260/2543</w:t>
      </w:r>
      <w:r w:rsidRPr="009B01E8">
        <w:br/>
      </w:r>
      <w:r w:rsidRPr="009B01E8">
        <w:rPr>
          <w:cs/>
        </w:rPr>
        <w:t>ข้อเท็จจริง</w:t>
      </w:r>
      <w:r w:rsidRPr="009B01E8">
        <w:br/>
      </w:r>
      <w:r w:rsidRPr="009B01E8">
        <w:rPr>
          <w:cs/>
        </w:rPr>
        <w:t xml:space="preserve">โจทก์ซึ่งเป็นทนายความทำสัญญาจ้างว่าความกับจำเลย โดยมีข้อตกลงว่า หากจำเลยได้รับแบ่งสินสมรสจากคดี จะต้องให้โจทก์เป็นสินจ้างเพิ่มในอัตราร้อยละ </w:t>
      </w:r>
      <w:r w:rsidRPr="009B01E8">
        <w:t xml:space="preserve">5 </w:t>
      </w:r>
      <w:r w:rsidRPr="009B01E8">
        <w:rPr>
          <w:cs/>
        </w:rPr>
        <w:t>ของทุนทรัพย์ที่จำเลยได้รับ</w:t>
      </w:r>
    </w:p>
    <w:p w14:paraId="766732B5" w14:textId="77777777" w:rsidR="009B01E8" w:rsidRPr="009B01E8" w:rsidRDefault="009B01E8" w:rsidP="009B01E8">
      <w:r w:rsidRPr="009B01E8">
        <w:rPr>
          <w:cs/>
        </w:rPr>
        <w:t>ข้อกฎหมายและดุลพินิจของศาล</w:t>
      </w:r>
      <w:r w:rsidRPr="009B01E8">
        <w:br/>
      </w:r>
      <w:r w:rsidRPr="009B01E8">
        <w:rPr>
          <w:cs/>
        </w:rPr>
        <w:t>ประเด็นที่วินิจฉัยคือ ข้อตกลงที่ให้ทนายความรับผลประโยชน์เป็นเปอร์เซ็นต์จากผลของคดีเช่นนี้ ขัดต่อกฎหมายหรือไม่</w:t>
      </w:r>
      <w:r w:rsidRPr="009B01E8">
        <w:br/>
      </w:r>
      <w:r w:rsidRPr="009B01E8">
        <w:rPr>
          <w:cs/>
        </w:rPr>
        <w:t>ศาลฎีกาเห็นว่า วิชาชีพทนายความเป็นวิชาชีพที่ได้รับความคุ้มครองตามกฎหมาย และมีหน้าที่ต่อสังคมในการประสิทธิ์ประสาทความยุติธรรม ดังนั้นจริยธรรมวิชาชีพจึงเป็นหลักสำคัญ</w:t>
      </w:r>
      <w:r w:rsidRPr="009B01E8">
        <w:br/>
      </w:r>
      <w:r w:rsidRPr="009B01E8">
        <w:rPr>
          <w:cs/>
        </w:rPr>
        <w:t xml:space="preserve">แม้ข้อบังคับมรรยาททนายความปี </w:t>
      </w:r>
      <w:r w:rsidRPr="009B01E8">
        <w:t xml:space="preserve">2529 </w:t>
      </w:r>
      <w:r w:rsidRPr="009B01E8">
        <w:rPr>
          <w:cs/>
        </w:rPr>
        <w:t>จะมิได้กำหนดลักษณะนี้ว่าเป็นความผิดทางวินัยหรือมรรยาทชัดเจนเหมือนพระราชบัญญัติทนายความฉบับเก่า แต่ศาลพิจารณาถึง “ความสงบเรียบร้อยและศีลธรรมอันดีของประชาชน” อันเป็นหลักทั่วไปในทางนิติกรรม</w:t>
      </w:r>
      <w:r w:rsidRPr="009B01E8">
        <w:br/>
      </w:r>
      <w:r w:rsidRPr="009B01E8">
        <w:rPr>
          <w:cs/>
        </w:rPr>
        <w:t>ศาลจึงวินิจฉัยว่า ข้อตกลงที่ให้ทนายความมีส่วนได้เสียจากผลของคดีโดยตรง เช่น ร้อยละของทรัพย์สินที่ลูกความได้รับ ถือว่าเป็นการขัดต่อหลักจริยธรรม และกระทบต่อความเป็นกลางของทนายความ ซึ่งถือว่าเป็นการกระทำที่ขัดต่อความสงบเรียบร้อยของประชาชน</w:t>
      </w:r>
      <w:r w:rsidRPr="009B01E8">
        <w:br/>
      </w:r>
      <w:r w:rsidRPr="009B01E8">
        <w:rPr>
          <w:cs/>
        </w:rPr>
        <w:t>ดังนั้น สัญญาในส่วนดังกล่าวจึงเป็น “โมฆะ” ตามกฎหมาย</w:t>
      </w:r>
    </w:p>
    <w:p w14:paraId="70115258" w14:textId="77777777" w:rsidR="009B01E8" w:rsidRPr="009B01E8" w:rsidRDefault="009B01E8" w:rsidP="009B01E8">
      <w:r w:rsidRPr="009B01E8">
        <w:rPr>
          <w:cs/>
        </w:rPr>
        <w:lastRenderedPageBreak/>
        <w:t>สรุปคำพิพากษา</w:t>
      </w:r>
      <w:r w:rsidRPr="009B01E8">
        <w:br/>
      </w:r>
      <w:r w:rsidRPr="009B01E8">
        <w:rPr>
          <w:cs/>
        </w:rPr>
        <w:t>การที่ทนายความทำสัญญากับลูกความโดยมีข้อตกลงว่าจะได้รับค่าตอบแทนตามเปอร์เซ็นต์ของทรัพย์สินที่ลูกความจะได้รับจากผลของคดี เป็นการกระทำที่ขัดต่อหลักจริยธรรมแห่งวิชาชีพทนายความ และถือเป็นสัญญาที่ขัดต่อความสงบเรียบร้อยและศีลธรรมอันดีของประชาชน ศาลจึงวินิจฉัยให้ข้อตกลงในสัญญาส่วนนั้นเป็นโมฆะ</w:t>
      </w:r>
    </w:p>
    <w:p w14:paraId="6390FF44" w14:textId="77777777" w:rsidR="009B01E8" w:rsidRPr="009B01E8" w:rsidRDefault="009B01E8" w:rsidP="009B01E8">
      <w:r w:rsidRPr="009B01E8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9B01E8">
        <w:t xml:space="preserve">081-803-4097 </w:t>
      </w:r>
      <w:r w:rsidRPr="009B01E8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9B01E8">
        <w:rPr>
          <w:cs/>
        </w:rPr>
        <w:t>เวป</w:t>
      </w:r>
      <w:proofErr w:type="spellEnd"/>
      <w:r w:rsidRPr="009B01E8">
        <w:rPr>
          <w:cs/>
        </w:rPr>
        <w:t>ไซ</w:t>
      </w:r>
      <w:proofErr w:type="spellStart"/>
      <w:r w:rsidRPr="009B01E8">
        <w:rPr>
          <w:cs/>
        </w:rPr>
        <w:t>ต์</w:t>
      </w:r>
      <w:proofErr w:type="spellEnd"/>
      <w:r w:rsidRPr="009B01E8">
        <w:t xml:space="preserve"> </w:t>
      </w:r>
      <w:hyperlink r:id="rId4" w:history="1">
        <w:r w:rsidRPr="009B01E8">
          <w:rPr>
            <w:rStyle w:val="Hyperlink"/>
          </w:rPr>
          <w:t>www.</w:t>
        </w:r>
        <w:r w:rsidRPr="009B01E8">
          <w:rPr>
            <w:rStyle w:val="Hyperlink"/>
            <w:cs/>
          </w:rPr>
          <w:t>สู้คดี.</w:t>
        </w:r>
        <w:r w:rsidRPr="009B01E8">
          <w:rPr>
            <w:rStyle w:val="Hyperlink"/>
          </w:rPr>
          <w:t>com</w:t>
        </w:r>
      </w:hyperlink>
      <w:r w:rsidRPr="009B01E8">
        <w:t xml:space="preserve"> </w:t>
      </w:r>
      <w:r w:rsidRPr="009B01E8">
        <w:rPr>
          <w:cs/>
        </w:rPr>
        <w:t>และ</w:t>
      </w:r>
      <w:r w:rsidRPr="009B01E8">
        <w:t xml:space="preserve"> </w:t>
      </w:r>
      <w:hyperlink r:id="rId5" w:history="1">
        <w:r w:rsidRPr="009B01E8">
          <w:rPr>
            <w:rStyle w:val="Hyperlink"/>
          </w:rPr>
          <w:t>www.</w:t>
        </w:r>
        <w:r w:rsidRPr="009B01E8">
          <w:rPr>
            <w:rStyle w:val="Hyperlink"/>
            <w:cs/>
          </w:rPr>
          <w:t>ทนายภูวงษ์.</w:t>
        </w:r>
        <w:r w:rsidRPr="009B01E8">
          <w:rPr>
            <w:rStyle w:val="Hyperlink"/>
          </w:rPr>
          <w:t>com</w:t>
        </w:r>
      </w:hyperlink>
    </w:p>
    <w:p w14:paraId="07B5F84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1E8"/>
    <w:rsid w:val="000554F2"/>
    <w:rsid w:val="001C2C6A"/>
    <w:rsid w:val="002B6232"/>
    <w:rsid w:val="009B01E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D7CB5"/>
  <w15:chartTrackingRefBased/>
  <w15:docId w15:val="{88B6A2CC-AEA0-47A3-9B17-FC517271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1E8"/>
    <w:pPr>
      <w:keepNext/>
      <w:keepLines/>
      <w:spacing w:before="320" w:after="40"/>
      <w:outlineLvl w:val="0"/>
    </w:pPr>
    <w:rPr>
      <w:rFonts w:eastAsiaTheme="majorEastAsia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1E8"/>
    <w:pPr>
      <w:keepNext/>
      <w:keepLines/>
      <w:spacing w:before="120" w:after="40"/>
      <w:outlineLvl w:val="1"/>
    </w:pPr>
    <w:rPr>
      <w:rFonts w:eastAsiaTheme="majorEastAsia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1E8"/>
    <w:pPr>
      <w:keepNext/>
      <w:keepLines/>
      <w:spacing w:before="120" w:after="40"/>
      <w:outlineLvl w:val="2"/>
    </w:pPr>
    <w:rPr>
      <w:rFonts w:asciiTheme="minorHAnsi" w:eastAsiaTheme="majorEastAsia" w:hAnsiTheme="minorHAnsi"/>
      <w:color w:val="0F4761" w:themeColor="accent1" w:themeShade="BF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1E8"/>
    <w:pPr>
      <w:keepNext/>
      <w:keepLines/>
      <w:spacing w:before="80" w:after="40"/>
      <w:outlineLvl w:val="3"/>
    </w:pPr>
    <w:rPr>
      <w:rFonts w:asciiTheme="minorHAnsi" w:eastAsiaTheme="majorEastAsia" w:hAnsiTheme="minorHAnsi"/>
      <w:i/>
      <w:iCs/>
      <w:color w:val="0F4761" w:themeColor="accent1" w:themeShade="BF"/>
      <w:szCs w:val="3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1E8"/>
    <w:pPr>
      <w:keepNext/>
      <w:keepLines/>
      <w:spacing w:before="80" w:after="40"/>
      <w:outlineLvl w:val="4"/>
    </w:pPr>
    <w:rPr>
      <w:rFonts w:asciiTheme="minorHAnsi" w:eastAsiaTheme="majorEastAsia" w:hAnsiTheme="minorHAnsi"/>
      <w:color w:val="0F4761" w:themeColor="accent1" w:themeShade="BF"/>
      <w:szCs w:val="35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1E8"/>
    <w:pPr>
      <w:keepNext/>
      <w:keepLines/>
      <w:spacing w:before="40" w:after="0"/>
      <w:outlineLvl w:val="5"/>
    </w:pPr>
    <w:rPr>
      <w:rFonts w:asciiTheme="minorHAnsi" w:eastAsiaTheme="majorEastAsia" w:hAnsiTheme="minorHAnsi"/>
      <w:i/>
      <w:iCs/>
      <w:color w:val="595959" w:themeColor="text1" w:themeTint="A6"/>
      <w:szCs w:val="3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1E8"/>
    <w:pPr>
      <w:keepNext/>
      <w:keepLines/>
      <w:spacing w:before="40" w:after="0"/>
      <w:outlineLvl w:val="6"/>
    </w:pPr>
    <w:rPr>
      <w:rFonts w:asciiTheme="minorHAnsi" w:eastAsiaTheme="majorEastAsia" w:hAnsiTheme="minorHAnsi"/>
      <w:color w:val="595959" w:themeColor="text1" w:themeTint="A6"/>
      <w:szCs w:val="35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1E8"/>
    <w:pPr>
      <w:keepNext/>
      <w:keepLines/>
      <w:spacing w:after="0"/>
      <w:outlineLvl w:val="7"/>
    </w:pPr>
    <w:rPr>
      <w:rFonts w:asciiTheme="minorHAnsi" w:eastAsiaTheme="majorEastAsia" w:hAnsiTheme="minorHAnsi"/>
      <w:i/>
      <w:iCs/>
      <w:color w:val="272727" w:themeColor="text1" w:themeTint="D8"/>
      <w:szCs w:val="35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1E8"/>
    <w:pPr>
      <w:keepNext/>
      <w:keepLines/>
      <w:spacing w:after="0"/>
      <w:outlineLvl w:val="8"/>
    </w:pPr>
    <w:rPr>
      <w:rFonts w:asciiTheme="minorHAnsi" w:eastAsiaTheme="majorEastAsia" w:hAnsiTheme="minorHAnsi"/>
      <w:color w:val="272727" w:themeColor="text1" w:themeTint="D8"/>
      <w:szCs w:val="3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1E8"/>
    <w:rPr>
      <w:rFonts w:eastAsiaTheme="majorEastAsia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1E8"/>
    <w:rPr>
      <w:rFonts w:eastAsiaTheme="majorEastAsia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1E8"/>
    <w:rPr>
      <w:rFonts w:asciiTheme="minorHAnsi" w:eastAsiaTheme="majorEastAsia" w:hAnsiTheme="minorHAnsi"/>
      <w:color w:val="0F4761" w:themeColor="accent1" w:themeShade="BF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1E8"/>
    <w:rPr>
      <w:rFonts w:asciiTheme="minorHAnsi" w:eastAsiaTheme="majorEastAsia" w:hAnsiTheme="minorHAnsi"/>
      <w:i/>
      <w:iCs/>
      <w:color w:val="0F4761" w:themeColor="accent1" w:themeShade="BF"/>
      <w:szCs w:val="3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1E8"/>
    <w:rPr>
      <w:rFonts w:asciiTheme="minorHAnsi" w:eastAsiaTheme="majorEastAsia" w:hAnsiTheme="minorHAnsi"/>
      <w:color w:val="0F4761" w:themeColor="accent1" w:themeShade="BF"/>
      <w:szCs w:val="35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1E8"/>
    <w:rPr>
      <w:rFonts w:asciiTheme="minorHAnsi" w:eastAsiaTheme="majorEastAsia" w:hAnsiTheme="minorHAnsi"/>
      <w:i/>
      <w:iCs/>
      <w:color w:val="595959" w:themeColor="text1" w:themeTint="A6"/>
      <w:szCs w:val="35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1E8"/>
    <w:rPr>
      <w:rFonts w:asciiTheme="minorHAnsi" w:eastAsiaTheme="majorEastAsia" w:hAnsiTheme="minorHAnsi"/>
      <w:color w:val="595959" w:themeColor="text1" w:themeTint="A6"/>
      <w:szCs w:val="35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1E8"/>
    <w:rPr>
      <w:rFonts w:asciiTheme="minorHAnsi" w:eastAsiaTheme="majorEastAsia" w:hAnsiTheme="minorHAnsi"/>
      <w:i/>
      <w:iCs/>
      <w:color w:val="272727" w:themeColor="text1" w:themeTint="D8"/>
      <w:szCs w:val="35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1E8"/>
    <w:rPr>
      <w:rFonts w:asciiTheme="minorHAnsi" w:eastAsiaTheme="majorEastAsia" w:hAnsiTheme="minorHAnsi"/>
      <w:color w:val="272727" w:themeColor="text1" w:themeTint="D8"/>
      <w:szCs w:val="35"/>
    </w:rPr>
  </w:style>
  <w:style w:type="paragraph" w:styleId="Title">
    <w:name w:val="Title"/>
    <w:basedOn w:val="Normal"/>
    <w:next w:val="Normal"/>
    <w:link w:val="TitleChar"/>
    <w:uiPriority w:val="10"/>
    <w:qFormat/>
    <w:rsid w:val="009B01E8"/>
    <w:pPr>
      <w:spacing w:after="40" w:line="240" w:lineRule="auto"/>
      <w:contextualSpacing/>
    </w:pPr>
    <w:rPr>
      <w:rFonts w:eastAsiaTheme="majorEastAsia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B01E8"/>
    <w:rPr>
      <w:rFonts w:eastAsiaTheme="majorEastAsia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1E8"/>
    <w:pPr>
      <w:numPr>
        <w:ilvl w:val="1"/>
      </w:numPr>
    </w:pPr>
    <w:rPr>
      <w:rFonts w:asciiTheme="minorHAnsi" w:eastAsiaTheme="majorEastAsia" w:hAnsiTheme="minorHAnsi"/>
      <w:color w:val="595959" w:themeColor="text1" w:themeTint="A6"/>
      <w:spacing w:val="15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B01E8"/>
    <w:rPr>
      <w:rFonts w:asciiTheme="minorHAnsi" w:eastAsiaTheme="majorEastAsia" w:hAnsiTheme="minorHAnsi"/>
      <w:color w:val="595959" w:themeColor="text1" w:themeTint="A6"/>
      <w:spacing w:val="15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B01E8"/>
    <w:pPr>
      <w:spacing w:before="160"/>
      <w:jc w:val="center"/>
    </w:pPr>
    <w:rPr>
      <w:i/>
      <w:iCs/>
      <w:color w:val="404040" w:themeColor="text1" w:themeTint="BF"/>
      <w:szCs w:val="35"/>
    </w:rPr>
  </w:style>
  <w:style w:type="character" w:customStyle="1" w:styleId="QuoteChar">
    <w:name w:val="Quote Char"/>
    <w:basedOn w:val="DefaultParagraphFont"/>
    <w:link w:val="Quote"/>
    <w:uiPriority w:val="29"/>
    <w:rsid w:val="009B01E8"/>
    <w:rPr>
      <w:i/>
      <w:iCs/>
      <w:color w:val="404040" w:themeColor="text1" w:themeTint="BF"/>
      <w:szCs w:val="35"/>
    </w:rPr>
  </w:style>
  <w:style w:type="paragraph" w:styleId="ListParagraph">
    <w:name w:val="List Paragraph"/>
    <w:basedOn w:val="Normal"/>
    <w:uiPriority w:val="34"/>
    <w:qFormat/>
    <w:rsid w:val="009B01E8"/>
    <w:pPr>
      <w:ind w:left="720"/>
      <w:contextualSpacing/>
    </w:pPr>
    <w:rPr>
      <w:szCs w:val="35"/>
    </w:rPr>
  </w:style>
  <w:style w:type="character" w:styleId="IntenseEmphasis">
    <w:name w:val="Intense Emphasis"/>
    <w:basedOn w:val="DefaultParagraphFont"/>
    <w:uiPriority w:val="21"/>
    <w:qFormat/>
    <w:rsid w:val="009B01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1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35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1E8"/>
    <w:rPr>
      <w:i/>
      <w:iCs/>
      <w:color w:val="0F4761" w:themeColor="accent1" w:themeShade="BF"/>
      <w:szCs w:val="35"/>
    </w:rPr>
  </w:style>
  <w:style w:type="character" w:styleId="IntenseReference">
    <w:name w:val="Intense Reference"/>
    <w:basedOn w:val="DefaultParagraphFont"/>
    <w:uiPriority w:val="32"/>
    <w:qFormat/>
    <w:rsid w:val="009B01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01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1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2025-07-26T01:39:00Z</dcterms:created>
  <dcterms:modified xsi:type="dcterms:W3CDTF">2025-07-26T01:42:00Z</dcterms:modified>
</cp:coreProperties>
</file>