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ACA98" w14:textId="7BDA858D" w:rsidR="000454FB" w:rsidRPr="000454FB" w:rsidRDefault="000454FB" w:rsidP="000454FB">
      <w:r w:rsidRPr="000454FB">
        <w:rPr>
          <w:cs/>
        </w:rPr>
        <w:t xml:space="preserve">ลำดับที่ </w:t>
      </w:r>
      <w:r w:rsidRPr="000454FB">
        <w:t>000188</w:t>
      </w:r>
      <w:r w:rsidRPr="000454FB">
        <w:br/>
      </w:r>
      <w:r w:rsidRPr="000454FB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0454FB">
        <w:rPr>
          <w:cs/>
        </w:rPr>
        <w:t>สัญญาว่าความแบบแบ่งเปอร์เซ็นต์จากผลคดีเป็นโมฆะ</w:t>
      </w:r>
    </w:p>
    <w:p w14:paraId="031B017D" w14:textId="77777777" w:rsidR="000454FB" w:rsidRPr="000454FB" w:rsidRDefault="000454FB" w:rsidP="000454FB">
      <w:r w:rsidRPr="000454FB">
        <w:rPr>
          <w:cs/>
        </w:rPr>
        <w:t xml:space="preserve">วิเคราะห์ฎีกาที่ </w:t>
      </w:r>
      <w:r w:rsidRPr="000454FB">
        <w:t>1047/2533</w:t>
      </w:r>
    </w:p>
    <w:p w14:paraId="3E14CAD6" w14:textId="77777777" w:rsidR="000454FB" w:rsidRPr="000454FB" w:rsidRDefault="000454FB" w:rsidP="000454FB">
      <w:r w:rsidRPr="000454F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454FB">
        <w:t>0818034097</w:t>
      </w:r>
    </w:p>
    <w:p w14:paraId="3EB656F3" w14:textId="77777777" w:rsidR="000454FB" w:rsidRPr="000454FB" w:rsidRDefault="000454FB" w:rsidP="000454FB">
      <w:r w:rsidRPr="000454FB">
        <w:rPr>
          <w:cs/>
        </w:rPr>
        <w:t>กฎหมายเกี่ยวกับอะไร</w:t>
      </w:r>
    </w:p>
    <w:p w14:paraId="743285A3" w14:textId="77777777" w:rsidR="000454FB" w:rsidRPr="000454FB" w:rsidRDefault="000454FB" w:rsidP="000454FB">
      <w:pPr>
        <w:numPr>
          <w:ilvl w:val="0"/>
          <w:numId w:val="1"/>
        </w:numPr>
      </w:pPr>
      <w:r w:rsidRPr="000454FB">
        <w:rPr>
          <w:cs/>
        </w:rPr>
        <w:t xml:space="preserve">พระราชบัญญัติทนายความ พ.ศ. </w:t>
      </w:r>
      <w:r w:rsidRPr="000454FB">
        <w:t xml:space="preserve">2477 </w:t>
      </w:r>
      <w:r w:rsidRPr="000454FB">
        <w:rPr>
          <w:cs/>
        </w:rPr>
        <w:t xml:space="preserve">มาตรา </w:t>
      </w:r>
      <w:r w:rsidRPr="000454FB">
        <w:t>12(2)</w:t>
      </w:r>
    </w:p>
    <w:p w14:paraId="513DA47E" w14:textId="77777777" w:rsidR="000454FB" w:rsidRPr="000454FB" w:rsidRDefault="000454FB" w:rsidP="000454FB">
      <w:pPr>
        <w:numPr>
          <w:ilvl w:val="0"/>
          <w:numId w:val="1"/>
        </w:numPr>
      </w:pPr>
      <w:r w:rsidRPr="000454FB">
        <w:rPr>
          <w:cs/>
        </w:rPr>
        <w:t xml:space="preserve">พระราชบัญญัติทนายความ พ.ศ. </w:t>
      </w:r>
      <w:r w:rsidRPr="000454FB">
        <w:t xml:space="preserve">2508 </w:t>
      </w:r>
      <w:r w:rsidRPr="000454FB">
        <w:rPr>
          <w:cs/>
        </w:rPr>
        <w:t xml:space="preserve">มาตรา </w:t>
      </w:r>
      <w:r w:rsidRPr="000454FB">
        <w:t>41</w:t>
      </w:r>
    </w:p>
    <w:p w14:paraId="44DC4D5D" w14:textId="77777777" w:rsidR="000454FB" w:rsidRPr="000454FB" w:rsidRDefault="000454FB" w:rsidP="000454FB">
      <w:pPr>
        <w:numPr>
          <w:ilvl w:val="0"/>
          <w:numId w:val="1"/>
        </w:numPr>
      </w:pPr>
      <w:r w:rsidRPr="000454FB">
        <w:rPr>
          <w:cs/>
        </w:rPr>
        <w:t xml:space="preserve">พระราชบัญญัติทนายความ พ.ศ. </w:t>
      </w:r>
      <w:r w:rsidRPr="000454FB">
        <w:t xml:space="preserve">2528 </w:t>
      </w:r>
      <w:r w:rsidRPr="000454FB">
        <w:rPr>
          <w:cs/>
        </w:rPr>
        <w:t xml:space="preserve">มาตรา </w:t>
      </w:r>
      <w:r w:rsidRPr="000454FB">
        <w:t xml:space="preserve">53 </w:t>
      </w:r>
      <w:r w:rsidRPr="000454FB">
        <w:rPr>
          <w:cs/>
        </w:rPr>
        <w:t xml:space="preserve">และมาตรา </w:t>
      </w:r>
      <w:r w:rsidRPr="000454FB">
        <w:t>86 (</w:t>
      </w:r>
      <w:r w:rsidRPr="000454FB">
        <w:rPr>
          <w:cs/>
        </w:rPr>
        <w:t>บทเฉพาะกาล)</w:t>
      </w:r>
    </w:p>
    <w:p w14:paraId="5290CF96" w14:textId="77777777" w:rsidR="000454FB" w:rsidRPr="000454FB" w:rsidRDefault="000454FB" w:rsidP="000454FB">
      <w:pPr>
        <w:numPr>
          <w:ilvl w:val="0"/>
          <w:numId w:val="1"/>
        </w:numPr>
      </w:pPr>
      <w:r w:rsidRPr="000454FB">
        <w:rPr>
          <w:cs/>
        </w:rPr>
        <w:t xml:space="preserve">ประมวลกฎหมายแพ่งและพาณิชย์ มาตรา </w:t>
      </w:r>
      <w:r w:rsidRPr="000454FB">
        <w:t>113</w:t>
      </w:r>
    </w:p>
    <w:p w14:paraId="18788F6D" w14:textId="77777777" w:rsidR="000454FB" w:rsidRPr="000454FB" w:rsidRDefault="000454FB" w:rsidP="000454FB">
      <w:r w:rsidRPr="000454FB">
        <w:rPr>
          <w:cs/>
        </w:rPr>
        <w:t xml:space="preserve">วิเคราะห์คำพิพากษาฎีกาที่ </w:t>
      </w:r>
      <w:r w:rsidRPr="000454FB">
        <w:t>1047/2533</w:t>
      </w:r>
      <w:r w:rsidRPr="000454FB">
        <w:br/>
      </w:r>
      <w:r w:rsidRPr="000454FB">
        <w:rPr>
          <w:cs/>
        </w:rPr>
        <w:t>ข้อเท็จจริง</w:t>
      </w:r>
      <w:r w:rsidRPr="000454FB">
        <w:br/>
      </w:r>
      <w:r w:rsidRPr="000454FB">
        <w:rPr>
          <w:cs/>
        </w:rPr>
        <w:t xml:space="preserve">จำเลยทำสัญญาจ้างโจทก์ให้ว่าความในคดี โดยตกลงว่าจำเลยจะจ่ายค่าจ้างให้แก่โจทก์จำนวนหนึ่ง ส่วนที่เหลืออีก </w:t>
      </w:r>
      <w:r w:rsidRPr="000454FB">
        <w:t xml:space="preserve">10% </w:t>
      </w:r>
      <w:r w:rsidRPr="000454FB">
        <w:rPr>
          <w:cs/>
        </w:rPr>
        <w:t>ของจำนวนเงินที่จำเลยจะได้รับจากการฟ้องแย้งจะจ่ายภายหลังหากคดีสำเร็จ</w:t>
      </w:r>
    </w:p>
    <w:p w14:paraId="64230B95" w14:textId="77777777" w:rsidR="000454FB" w:rsidRPr="000454FB" w:rsidRDefault="000454FB" w:rsidP="000454FB">
      <w:r w:rsidRPr="000454FB">
        <w:rPr>
          <w:cs/>
        </w:rPr>
        <w:t>ข้อกฎหมายและดุลพินิจของศาล</w:t>
      </w:r>
      <w:r w:rsidRPr="000454FB">
        <w:br/>
      </w:r>
      <w:r w:rsidRPr="000454FB">
        <w:rPr>
          <w:cs/>
        </w:rPr>
        <w:t xml:space="preserve">ศาลฎีกาเห็นว่า สัญญาดังกล่าวเป็นการว่าจ้างทนายความโดยให้ค่าจ้างเป็นเปอร์เซ็นต์จากทรัพย์สินที่เป็นมูลแห่งคดี ซึ่งขัดต่อพระราชบัญญัติทนายความ พ.ศ. </w:t>
      </w:r>
      <w:r w:rsidRPr="000454FB">
        <w:t xml:space="preserve">2508 </w:t>
      </w:r>
      <w:r w:rsidRPr="000454FB">
        <w:rPr>
          <w:cs/>
        </w:rPr>
        <w:t xml:space="preserve">มาตรา </w:t>
      </w:r>
      <w:r w:rsidRPr="000454FB">
        <w:t xml:space="preserve">41 </w:t>
      </w:r>
      <w:r w:rsidRPr="000454FB">
        <w:rPr>
          <w:cs/>
        </w:rPr>
        <w:t xml:space="preserve">และกฎหมายเดิมที่ใช้ก่อนหน้านั้น คือ พ.ร.บ. ทนายความ พ.ศ. </w:t>
      </w:r>
      <w:r w:rsidRPr="000454FB">
        <w:t xml:space="preserve">2477 </w:t>
      </w:r>
      <w:r w:rsidRPr="000454FB">
        <w:rPr>
          <w:cs/>
        </w:rPr>
        <w:t xml:space="preserve">มาตรา </w:t>
      </w:r>
      <w:r w:rsidRPr="000454FB">
        <w:t xml:space="preserve">12(2) </w:t>
      </w:r>
      <w:r w:rsidRPr="000454FB">
        <w:rPr>
          <w:cs/>
        </w:rPr>
        <w:t xml:space="preserve">ซึ่งห้ามทนายความรับค่าจ้างเป็นเปอร์เซ็นต์จากผลคดี ด้วยเหตุนี้สัญญาจึงตกเป็นโมฆะตามประมวลกฎหมายแพ่งและพาณิชย์ มาตรา </w:t>
      </w:r>
      <w:r w:rsidRPr="000454FB">
        <w:t>113</w:t>
      </w:r>
    </w:p>
    <w:p w14:paraId="2F803BCE" w14:textId="77777777" w:rsidR="000454FB" w:rsidRPr="000454FB" w:rsidRDefault="000454FB" w:rsidP="000454FB">
      <w:r w:rsidRPr="000454FB">
        <w:rPr>
          <w:cs/>
        </w:rPr>
        <w:t xml:space="preserve">แม้ภายหลังจะมี พ.ร.บ. ทนายความ พ.ศ. </w:t>
      </w:r>
      <w:r w:rsidRPr="000454FB">
        <w:t xml:space="preserve">2528 </w:t>
      </w:r>
      <w:r w:rsidRPr="000454FB">
        <w:rPr>
          <w:cs/>
        </w:rPr>
        <w:t xml:space="preserve">ซึ่งยกเลิกกฎหมายเดิม และบทเฉพาะกาลมาตรา </w:t>
      </w:r>
      <w:r w:rsidRPr="000454FB">
        <w:t xml:space="preserve">86 </w:t>
      </w:r>
      <w:r w:rsidRPr="000454FB">
        <w:rPr>
          <w:cs/>
        </w:rPr>
        <w:t xml:space="preserve">บัญญัติให้คณะกรรมการสามารถออกข้อบังคับเกี่ยวกับมารยาททนายความตามมาตรา </w:t>
      </w:r>
      <w:r w:rsidRPr="000454FB">
        <w:t xml:space="preserve">53 </w:t>
      </w:r>
      <w:r w:rsidRPr="000454FB">
        <w:rPr>
          <w:cs/>
        </w:rPr>
        <w:t>ซึ่งไม่ได้กำหนดเรื่องค่าจ้างในลักษณะดังกล่าวไว้ ก็ไม่ทำให้สัญญาที่เป็นโมฆะโดยเดิมกลับกลายเป็นสมบูรณ์</w:t>
      </w:r>
    </w:p>
    <w:p w14:paraId="65831E28" w14:textId="77777777" w:rsidR="000454FB" w:rsidRPr="000454FB" w:rsidRDefault="000454FB" w:rsidP="000454FB">
      <w:r w:rsidRPr="000454FB">
        <w:rPr>
          <w:cs/>
        </w:rPr>
        <w:t>สรุปคำพิพากษา</w:t>
      </w:r>
      <w:r w:rsidRPr="000454FB">
        <w:br/>
      </w:r>
      <w:r w:rsidRPr="000454FB">
        <w:rPr>
          <w:cs/>
        </w:rPr>
        <w:t>การว่าจ้างทนายความโดยแบ่งค่าจ้างจากเปอร์เซ็นต์ของผลประโยชน์ที่ได้จากคดีความถือว่าขัดต่อกฎหมายว่า</w:t>
      </w:r>
      <w:r w:rsidRPr="000454FB">
        <w:rPr>
          <w:cs/>
        </w:rPr>
        <w:lastRenderedPageBreak/>
        <w:t>ด้วยทนายความ เป็นสัญญาที่มีวัตถุประสงค์ผิดกฎหมาย ตกเป็นโมฆะตั้งแต่ต้น โจทก์จึงไม่มีสิทธิเรียกร้องค่าจ้างส่วนที่เหลือตามสัญญานั้นจากจำเลยได้</w:t>
      </w:r>
    </w:p>
    <w:p w14:paraId="7228D9F1" w14:textId="77777777" w:rsidR="000454FB" w:rsidRPr="000454FB" w:rsidRDefault="000454FB" w:rsidP="000454FB">
      <w:r w:rsidRPr="000454F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454FB">
        <w:t xml:space="preserve">081-803-4097 </w:t>
      </w:r>
      <w:r w:rsidRPr="000454F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0454FB">
        <w:t xml:space="preserve"> </w:t>
      </w:r>
      <w:hyperlink r:id="rId5" w:history="1">
        <w:r w:rsidRPr="000454FB">
          <w:rPr>
            <w:rStyle w:val="Hyperlink"/>
          </w:rPr>
          <w:t>www.</w:t>
        </w:r>
        <w:r w:rsidRPr="000454FB">
          <w:rPr>
            <w:rStyle w:val="Hyperlink"/>
            <w:cs/>
          </w:rPr>
          <w:t>สู้คดี.</w:t>
        </w:r>
        <w:r w:rsidRPr="000454FB">
          <w:rPr>
            <w:rStyle w:val="Hyperlink"/>
          </w:rPr>
          <w:t>com</w:t>
        </w:r>
      </w:hyperlink>
      <w:r w:rsidRPr="000454FB">
        <w:t xml:space="preserve"> </w:t>
      </w:r>
      <w:r w:rsidRPr="000454FB">
        <w:rPr>
          <w:cs/>
        </w:rPr>
        <w:t>และ</w:t>
      </w:r>
      <w:r w:rsidRPr="000454FB">
        <w:t xml:space="preserve"> </w:t>
      </w:r>
      <w:hyperlink r:id="rId6" w:history="1">
        <w:r w:rsidRPr="000454FB">
          <w:rPr>
            <w:rStyle w:val="Hyperlink"/>
          </w:rPr>
          <w:t>www.</w:t>
        </w:r>
        <w:r w:rsidRPr="000454FB">
          <w:rPr>
            <w:rStyle w:val="Hyperlink"/>
            <w:cs/>
          </w:rPr>
          <w:t>ทนายภูวงษ์.</w:t>
        </w:r>
        <w:r w:rsidRPr="000454FB">
          <w:rPr>
            <w:rStyle w:val="Hyperlink"/>
          </w:rPr>
          <w:t>com</w:t>
        </w:r>
      </w:hyperlink>
    </w:p>
    <w:p w14:paraId="5FF79A00" w14:textId="77777777" w:rsidR="002B6232" w:rsidRPr="000454FB" w:rsidRDefault="002B6232"/>
    <w:sectPr w:rsidR="002B6232" w:rsidRPr="00045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F4BC2"/>
    <w:multiLevelType w:val="multilevel"/>
    <w:tmpl w:val="3C562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9326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4FB"/>
    <w:rsid w:val="000454FB"/>
    <w:rsid w:val="000554F2"/>
    <w:rsid w:val="001C2C6A"/>
    <w:rsid w:val="002B6232"/>
    <w:rsid w:val="0085348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B638A"/>
  <w15:chartTrackingRefBased/>
  <w15:docId w15:val="{18C9DDDE-1984-4AF5-99A3-74822A904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4F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4F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4F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4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4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4F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4F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4F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4F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4F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4F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4F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4F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4F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4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4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4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4F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4F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454F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4F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454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454F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4F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4F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45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4F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4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54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54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2025-07-26T01:50:00Z</dcterms:created>
  <dcterms:modified xsi:type="dcterms:W3CDTF">2025-07-26T01:50:00Z</dcterms:modified>
</cp:coreProperties>
</file>