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529E6" w14:textId="71C78F88" w:rsidR="004F5E90" w:rsidRPr="004F5E90" w:rsidRDefault="004F5E90" w:rsidP="004F5E90">
      <w:r w:rsidRPr="004F5E90">
        <w:rPr>
          <w:cs/>
        </w:rPr>
        <w:t xml:space="preserve">ลำดับที่ </w:t>
      </w:r>
      <w:r w:rsidRPr="004F5E90">
        <w:t>000291</w:t>
      </w:r>
      <w:r w:rsidRPr="004F5E90">
        <w:br/>
      </w:r>
      <w:r w:rsidRPr="004F5E90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4F5E90">
        <w:rPr>
          <w:cs/>
        </w:rPr>
        <w:t>พยายามลักทรัพย์ในทรัพย์ที่ครอบครองร่วม โดยอ้างสิทธิ์ในฐานะเจ้าของร่วม</w:t>
      </w:r>
    </w:p>
    <w:p w14:paraId="0BE5205E" w14:textId="77777777" w:rsidR="004F5E90" w:rsidRPr="004F5E90" w:rsidRDefault="004F5E90" w:rsidP="004F5E90">
      <w:r w:rsidRPr="004F5E90">
        <w:rPr>
          <w:cs/>
        </w:rPr>
        <w:t xml:space="preserve">วิเคราะห์ฎีกาที่ </w:t>
      </w:r>
      <w:r w:rsidRPr="004F5E90">
        <w:t>3142/2557</w:t>
      </w:r>
      <w:r w:rsidRPr="004F5E90">
        <w:br/>
      </w:r>
      <w:r w:rsidRPr="004F5E9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F5E90">
        <w:t>0818034097</w:t>
      </w:r>
    </w:p>
    <w:p w14:paraId="70177862" w14:textId="77777777" w:rsidR="004F5E90" w:rsidRPr="004F5E90" w:rsidRDefault="004F5E90" w:rsidP="004F5E90">
      <w:r w:rsidRPr="004F5E90">
        <w:rPr>
          <w:cs/>
        </w:rPr>
        <w:t>กฎหมายเกี่ยวกับอะไร</w:t>
      </w:r>
      <w:r w:rsidRPr="004F5E90">
        <w:br/>
      </w:r>
      <w:r w:rsidRPr="004F5E90">
        <w:rPr>
          <w:cs/>
        </w:rPr>
        <w:t xml:space="preserve">ประมวลกฎหมายอาญา มาตรา </w:t>
      </w:r>
      <w:r w:rsidRPr="004F5E90">
        <w:t xml:space="preserve">334 </w:t>
      </w:r>
      <w:r w:rsidRPr="004F5E90">
        <w:rPr>
          <w:cs/>
        </w:rPr>
        <w:t>วรรคแรก (ลักทรัพย์)</w:t>
      </w:r>
      <w:r w:rsidRPr="004F5E90">
        <w:t xml:space="preserve">, </w:t>
      </w:r>
      <w:r w:rsidRPr="004F5E90">
        <w:rPr>
          <w:cs/>
        </w:rPr>
        <w:t xml:space="preserve">มาตรา </w:t>
      </w:r>
      <w:r w:rsidRPr="004F5E90">
        <w:t xml:space="preserve">59 </w:t>
      </w:r>
      <w:r w:rsidRPr="004F5E90">
        <w:rPr>
          <w:cs/>
        </w:rPr>
        <w:t>วรรคท้าย (เจตนา)</w:t>
      </w:r>
      <w:r w:rsidRPr="004F5E90">
        <w:t xml:space="preserve">, </w:t>
      </w:r>
      <w:r w:rsidRPr="004F5E90">
        <w:rPr>
          <w:cs/>
        </w:rPr>
        <w:t xml:space="preserve">มาตรา </w:t>
      </w:r>
      <w:r w:rsidRPr="004F5E90">
        <w:t>64 (</w:t>
      </w:r>
      <w:r w:rsidRPr="004F5E90">
        <w:rPr>
          <w:cs/>
        </w:rPr>
        <w:t>อ้างความไม่รู้กฎหมาย)</w:t>
      </w:r>
      <w:r w:rsidRPr="004F5E90">
        <w:t xml:space="preserve">, </w:t>
      </w:r>
      <w:r w:rsidRPr="004F5E90">
        <w:rPr>
          <w:cs/>
        </w:rPr>
        <w:t xml:space="preserve">มาตรา </w:t>
      </w:r>
      <w:r w:rsidRPr="004F5E90">
        <w:t>83 (</w:t>
      </w:r>
      <w:r w:rsidRPr="004F5E90">
        <w:rPr>
          <w:cs/>
        </w:rPr>
        <w:t>ตัวการ)</w:t>
      </w:r>
      <w:r w:rsidRPr="004F5E90">
        <w:t xml:space="preserve">, </w:t>
      </w:r>
      <w:r w:rsidRPr="004F5E90">
        <w:rPr>
          <w:cs/>
        </w:rPr>
        <w:t xml:space="preserve">มาตรา </w:t>
      </w:r>
      <w:r w:rsidRPr="004F5E90">
        <w:t>84 (</w:t>
      </w:r>
      <w:r w:rsidRPr="004F5E90">
        <w:rPr>
          <w:cs/>
        </w:rPr>
        <w:t>ผู้ใช้)</w:t>
      </w:r>
      <w:r w:rsidRPr="004F5E90">
        <w:t xml:space="preserve">, </w:t>
      </w:r>
      <w:r w:rsidRPr="004F5E90">
        <w:rPr>
          <w:cs/>
        </w:rPr>
        <w:t xml:space="preserve">มาตรา </w:t>
      </w:r>
      <w:r w:rsidRPr="004F5E90">
        <w:t>86 (</w:t>
      </w:r>
      <w:r w:rsidRPr="004F5E90">
        <w:rPr>
          <w:cs/>
        </w:rPr>
        <w:t xml:space="preserve">ผู้สนับสนุน) และประมวลกฎหมายวิธีพิจารณาความอาญา มาตรา </w:t>
      </w:r>
      <w:r w:rsidRPr="004F5E90">
        <w:t xml:space="preserve">192 </w:t>
      </w:r>
      <w:r w:rsidRPr="004F5E90">
        <w:rPr>
          <w:cs/>
        </w:rPr>
        <w:t>วรรคสอง</w:t>
      </w:r>
    </w:p>
    <w:p w14:paraId="4F723752" w14:textId="77777777" w:rsidR="004F5E90" w:rsidRPr="004F5E90" w:rsidRDefault="004F5E90" w:rsidP="004F5E90">
      <w:r w:rsidRPr="004F5E90">
        <w:rPr>
          <w:cs/>
        </w:rPr>
        <w:t xml:space="preserve">วิเคราะห์คำพิพากษาฎีกาเลขที่ </w:t>
      </w:r>
      <w:r w:rsidRPr="004F5E90">
        <w:t>3142/2557</w:t>
      </w:r>
      <w:r w:rsidRPr="004F5E90">
        <w:br/>
      </w:r>
      <w:r w:rsidRPr="004F5E90">
        <w:rPr>
          <w:b/>
          <w:bCs/>
          <w:cs/>
        </w:rPr>
        <w:t>ข้อเท็จจริง</w:t>
      </w:r>
      <w:r w:rsidRPr="004F5E90">
        <w:br/>
      </w:r>
      <w:r w:rsidRPr="004F5E90">
        <w:rPr>
          <w:cs/>
        </w:rPr>
        <w:t>จำเลยและผู้เสียหายเป็นเจ้าของรวมในสวนยางพาราแห่งหนึ่ง แต่ก่อนเกิดเหตุ จำเลยยินยอมให้ผู้เสียหายครอบครองและได้ประโยชน์จากสวนยางนั้นแต่เพียงผู้เดียว ต่อมาจำเลยได้จ้าง ส. เข้าไปกรีดยางพาราโดยมีเจตนาจะนำน้ำยางไปใช้ประโยชน์เพียงฝ่ายเดียว</w:t>
      </w:r>
    </w:p>
    <w:p w14:paraId="6BC11808" w14:textId="77777777" w:rsidR="004F5E90" w:rsidRPr="004F5E90" w:rsidRDefault="004F5E90" w:rsidP="004F5E90">
      <w:r w:rsidRPr="004F5E90">
        <w:rPr>
          <w:b/>
          <w:bCs/>
          <w:cs/>
        </w:rPr>
        <w:t>ข้อกฎหมาย</w:t>
      </w:r>
      <w:r w:rsidRPr="004F5E90">
        <w:br/>
      </w:r>
      <w:r w:rsidRPr="004F5E90">
        <w:rPr>
          <w:cs/>
        </w:rPr>
        <w:t>การกระทำของจำเลยถือว่าเป็นการแสวงหาประโยชน์โดยมิชอบด้วยกฎหมาย แม้จะเป็นเจ้าของร่วมในทรัพย์ แต่เมื่อได้ยินยอมให้ผู้อื่นครอบครองแต่เพียงผู้เดียว การเข้าไปแสวงหาประโยชน์จากทรัพย์นั้นเองโดยพลการ ถือเป็นการทุจริตเข้าข่าย “พยายามลักทรัพย์”</w:t>
      </w:r>
      <w:r w:rsidRPr="004F5E90">
        <w:br/>
      </w:r>
      <w:r w:rsidRPr="004F5E90">
        <w:rPr>
          <w:cs/>
        </w:rPr>
        <w:t>นอกจากนี้ โจทก์ฟ้องว่าจำเลยเป็น “ตัวการ” แต่ข้อเท็จจริงปรากฏว่าจำเลย “ใช้” ให้ผู้อื่น (คือ ส.) กระทำความผิด ซึ่งแตกต่างกันในข้อสาระสำคัญของคดี</w:t>
      </w:r>
      <w:r w:rsidRPr="004F5E90">
        <w:br/>
      </w:r>
      <w:r w:rsidRPr="004F5E90">
        <w:rPr>
          <w:cs/>
        </w:rPr>
        <w:t>ศาลจึงวินิจฉัยว่าไม่อาจลงโทษจำเลยในฐานะ “ผู้ใช้” ได้ตามคำฟ้อง แต่สามารถลงโทษในฐานะ “ผู้สนับสนุน” ได้แทน</w:t>
      </w:r>
      <w:r w:rsidRPr="004F5E90">
        <w:br/>
      </w:r>
      <w:r w:rsidRPr="004F5E90">
        <w:rPr>
          <w:cs/>
        </w:rPr>
        <w:t xml:space="preserve">ส่วนข้ออ้างของจำเลยว่าเข้าใจว่าตนมีสิทธิในฐานะเจ้าของร่วม และการกระทำเป็นไปโดยสุจริต ถือเป็นการอ้างความไม่รู้กฎหมาย ซึ่งไม่สามารถยกเป็นเหตุให้พ้นความผิดได้ตามมาตรา </w:t>
      </w:r>
      <w:r w:rsidRPr="004F5E90">
        <w:t>64</w:t>
      </w:r>
    </w:p>
    <w:p w14:paraId="69C3E38A" w14:textId="77777777" w:rsidR="004F5E90" w:rsidRPr="004F5E90" w:rsidRDefault="004F5E90" w:rsidP="004F5E90">
      <w:r w:rsidRPr="004F5E90">
        <w:rPr>
          <w:b/>
          <w:bCs/>
          <w:cs/>
        </w:rPr>
        <w:t>ดุลพินิจของศาล</w:t>
      </w:r>
      <w:r w:rsidRPr="004F5E90">
        <w:br/>
      </w:r>
      <w:r w:rsidRPr="004F5E90">
        <w:rPr>
          <w:cs/>
        </w:rPr>
        <w:t>ศาลใช้ดุลพินิจแยกแยะพฤติการณ์แห่งคดีอย่างละเอียด โดยถือว่าการยินยอมให้ครอบครองทรัพย์แต่เพียงฝ่ายเดียวเป็นการตัดสิทธิครอบครองของอีกฝ่ายในทางพฤตินัย หากเข้าไปแสวงหาประโยชน์จากทรัพย์นั้นฝ่ายเดียว ย่อมมีลักษณะเป็นการทุจริตและผิดกฎหมาย แม้จะมีส่วนในกรรมสิทธิ์ก็ตาม</w:t>
      </w:r>
    </w:p>
    <w:p w14:paraId="1AFD100F" w14:textId="77777777" w:rsidR="004F5E90" w:rsidRPr="004F5E90" w:rsidRDefault="004F5E90" w:rsidP="004F5E90">
      <w:r w:rsidRPr="004F5E90">
        <w:rPr>
          <w:cs/>
        </w:rPr>
        <w:lastRenderedPageBreak/>
        <w:t>สรุปคำพิพากษา</w:t>
      </w:r>
      <w:r w:rsidRPr="004F5E90">
        <w:br/>
      </w:r>
      <w:r w:rsidRPr="004F5E90">
        <w:rPr>
          <w:cs/>
        </w:rPr>
        <w:t>จำเลยมีความผิดฐานพยายามลักทรัพย์ โดยศาลวินิจฉัยว่าจำเลยกระทำความผิดในฐานะ “ผู้สนับสนุน” มิใช่ “ตัวการ” หรือ “ผู้ใช้” ตามที่โจทก์ฟ้อง การที่จำเลยเข้าใจว่าตนมีสิทธิเข้าไปกรีดยางและเอาน้ำยางไปใช้เองโดยอาศัยสิทธิในฐานะเจ้าของร่วม ไม่สามารถยกขึ้นเป็นข้อต่อสู้ทางอาญาได้ ถือเป็นการอ้างความไม่รู้กฎหมาย ซึ่งไม่สามารถยกเว้นความรับผิดได้</w:t>
      </w:r>
    </w:p>
    <w:p w14:paraId="795DCAA4" w14:textId="77777777" w:rsidR="004F5E90" w:rsidRPr="004F5E90" w:rsidRDefault="004F5E90" w:rsidP="004F5E90">
      <w:r w:rsidRPr="004F5E9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4F5E90">
        <w:t xml:space="preserve">081-803-4097 </w:t>
      </w:r>
      <w:r w:rsidRPr="004F5E9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4F5E90">
        <w:rPr>
          <w:cs/>
        </w:rPr>
        <w:t>เวป</w:t>
      </w:r>
      <w:proofErr w:type="spellEnd"/>
      <w:r w:rsidRPr="004F5E90">
        <w:rPr>
          <w:cs/>
        </w:rPr>
        <w:t>ไซ</w:t>
      </w:r>
      <w:proofErr w:type="spellStart"/>
      <w:r w:rsidRPr="004F5E90">
        <w:rPr>
          <w:cs/>
        </w:rPr>
        <w:t>ต์</w:t>
      </w:r>
      <w:proofErr w:type="spellEnd"/>
      <w:r w:rsidRPr="004F5E90">
        <w:t xml:space="preserve"> </w:t>
      </w:r>
      <w:hyperlink r:id="rId4" w:history="1">
        <w:r w:rsidRPr="004F5E90">
          <w:rPr>
            <w:rStyle w:val="Hyperlink"/>
          </w:rPr>
          <w:t>www.</w:t>
        </w:r>
        <w:r w:rsidRPr="004F5E90">
          <w:rPr>
            <w:rStyle w:val="Hyperlink"/>
            <w:cs/>
          </w:rPr>
          <w:t>สู้คดี.</w:t>
        </w:r>
        <w:r w:rsidRPr="004F5E90">
          <w:rPr>
            <w:rStyle w:val="Hyperlink"/>
          </w:rPr>
          <w:t>com</w:t>
        </w:r>
      </w:hyperlink>
      <w:r w:rsidRPr="004F5E90">
        <w:t xml:space="preserve"> </w:t>
      </w:r>
      <w:r w:rsidRPr="004F5E90">
        <w:rPr>
          <w:cs/>
        </w:rPr>
        <w:t>และ</w:t>
      </w:r>
      <w:r w:rsidRPr="004F5E90">
        <w:t xml:space="preserve"> </w:t>
      </w:r>
      <w:hyperlink r:id="rId5" w:history="1">
        <w:r w:rsidRPr="004F5E90">
          <w:rPr>
            <w:rStyle w:val="Hyperlink"/>
          </w:rPr>
          <w:t>www.</w:t>
        </w:r>
        <w:r w:rsidRPr="004F5E90">
          <w:rPr>
            <w:rStyle w:val="Hyperlink"/>
            <w:cs/>
          </w:rPr>
          <w:t>ทนายภูวงษ์.</w:t>
        </w:r>
        <w:r w:rsidRPr="004F5E90">
          <w:rPr>
            <w:rStyle w:val="Hyperlink"/>
          </w:rPr>
          <w:t>com</w:t>
        </w:r>
      </w:hyperlink>
    </w:p>
    <w:p w14:paraId="7D64AFB0" w14:textId="77777777" w:rsidR="002B6232" w:rsidRPr="004F5E90" w:rsidRDefault="002B6232"/>
    <w:sectPr w:rsidR="002B6232" w:rsidRPr="004F5E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90"/>
    <w:rsid w:val="000554F2"/>
    <w:rsid w:val="001C2C6A"/>
    <w:rsid w:val="002B6232"/>
    <w:rsid w:val="004B2BC7"/>
    <w:rsid w:val="004F5E9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0A560"/>
  <w15:chartTrackingRefBased/>
  <w15:docId w15:val="{8F3BFC05-401A-4949-80CB-BBD62FA5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E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E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E9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E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E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E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E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E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E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E9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E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E9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E9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E9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E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E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E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E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E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F5E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E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F5E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F5E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E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E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F5E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E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E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E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5E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2025-07-27T02:42:00Z</dcterms:created>
  <dcterms:modified xsi:type="dcterms:W3CDTF">2025-07-27T02:43:00Z</dcterms:modified>
</cp:coreProperties>
</file>