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321DC" w14:textId="49B1D36D" w:rsidR="00B407CC" w:rsidRPr="00B407CC" w:rsidRDefault="00B407CC" w:rsidP="00B407CC">
      <w:r w:rsidRPr="00B407CC">
        <w:rPr>
          <w:b/>
          <w:bCs/>
          <w:cs/>
        </w:rPr>
        <w:t xml:space="preserve">ลำดับที่ </w:t>
      </w:r>
      <w:r w:rsidRPr="00B407CC">
        <w:rPr>
          <w:b/>
          <w:bCs/>
        </w:rPr>
        <w:t>000298</w:t>
      </w:r>
      <w:r w:rsidRPr="00B407CC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B407CC">
        <w:rPr>
          <w:b/>
          <w:bCs/>
          <w:cs/>
        </w:rPr>
        <w:t>ความผิดเกี่ยวกับอาวุธปืนไม่มีหมายเลขทะเบียน และอำนาจศาลในการพิจารณาคำสั่งคืนของกลาง</w:t>
      </w:r>
    </w:p>
    <w:p w14:paraId="3E46A5A0" w14:textId="77777777" w:rsidR="00B407CC" w:rsidRPr="00B407CC" w:rsidRDefault="00B407CC" w:rsidP="00B407CC">
      <w:r w:rsidRPr="00B407CC">
        <w:rPr>
          <w:b/>
          <w:bCs/>
          <w:cs/>
        </w:rPr>
        <w:t xml:space="preserve">วิเคราะห์ฎีกาที่ </w:t>
      </w:r>
      <w:r w:rsidRPr="00B407CC">
        <w:rPr>
          <w:b/>
          <w:bCs/>
        </w:rPr>
        <w:t>12174/2553</w:t>
      </w:r>
    </w:p>
    <w:p w14:paraId="374CC783" w14:textId="77777777" w:rsidR="00B407CC" w:rsidRPr="00B407CC" w:rsidRDefault="00B407CC" w:rsidP="00B407CC">
      <w:r w:rsidRPr="00B407CC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407CC">
        <w:rPr>
          <w:b/>
          <w:bCs/>
        </w:rPr>
        <w:t>0818034097</w:t>
      </w:r>
    </w:p>
    <w:p w14:paraId="178EC502" w14:textId="77777777" w:rsidR="00B407CC" w:rsidRPr="00B407CC" w:rsidRDefault="00B407CC" w:rsidP="00B407CC">
      <w:r w:rsidRPr="00B407CC">
        <w:rPr>
          <w:b/>
          <w:bCs/>
          <w:cs/>
        </w:rPr>
        <w:t>กฎหมายเกี่ยวกับอะไร</w:t>
      </w:r>
      <w:r w:rsidRPr="00B407CC">
        <w:br/>
      </w:r>
      <w:r w:rsidRPr="00B407CC">
        <w:rPr>
          <w:cs/>
        </w:rPr>
        <w:t xml:space="preserve">พระราชบัญญัติอาวุธปืนฯ มาตรา </w:t>
      </w:r>
      <w:r w:rsidRPr="00B407CC">
        <w:t xml:space="preserve">7, 72 </w:t>
      </w:r>
      <w:r w:rsidRPr="00B407CC">
        <w:rPr>
          <w:cs/>
        </w:rPr>
        <w:t>วรรคสาม</w:t>
      </w:r>
      <w:r w:rsidRPr="00B407CC">
        <w:br/>
      </w:r>
      <w:r w:rsidRPr="00B407CC">
        <w:rPr>
          <w:cs/>
        </w:rPr>
        <w:t xml:space="preserve">ประมวลกฎหมายวิธีพิจารณาความอาญา มาตรา </w:t>
      </w:r>
      <w:r w:rsidRPr="00B407CC">
        <w:t xml:space="preserve">176, 185 </w:t>
      </w:r>
      <w:r w:rsidRPr="00B407CC">
        <w:rPr>
          <w:cs/>
        </w:rPr>
        <w:t>วรรคหนึ่ง</w:t>
      </w:r>
      <w:r w:rsidRPr="00B407CC">
        <w:t xml:space="preserve">, 186 (9), 195 </w:t>
      </w:r>
      <w:r w:rsidRPr="00B407CC">
        <w:rPr>
          <w:cs/>
        </w:rPr>
        <w:t>วรรคสอง</w:t>
      </w:r>
      <w:r w:rsidRPr="00B407CC">
        <w:t>, 215</w:t>
      </w:r>
      <w:r w:rsidRPr="00B407CC">
        <w:br/>
      </w:r>
      <w:r w:rsidRPr="00B407CC">
        <w:rPr>
          <w:cs/>
        </w:rPr>
        <w:t xml:space="preserve">ประมวลกฎหมายอาญา มาตรา </w:t>
      </w:r>
      <w:r w:rsidRPr="00B407CC">
        <w:t>32, 33</w:t>
      </w:r>
    </w:p>
    <w:p w14:paraId="5B289E17" w14:textId="77777777" w:rsidR="00B407CC" w:rsidRPr="00B407CC" w:rsidRDefault="00B407CC" w:rsidP="00B407CC">
      <w:r w:rsidRPr="00B407CC">
        <w:rPr>
          <w:b/>
          <w:bCs/>
          <w:cs/>
        </w:rPr>
        <w:t>แยกข้อเท็จจริง</w:t>
      </w:r>
      <w:r w:rsidRPr="00B407CC">
        <w:br/>
      </w:r>
      <w:r w:rsidRPr="00B407CC">
        <w:rPr>
          <w:cs/>
        </w:rPr>
        <w:t>จำเลยถูกฟ้องในข้อหามีอาวุธปืนไม่มีหมายเลขทะเบียนไว้ในครอบครองโดยไม่ได้รับอนุญาต</w:t>
      </w:r>
      <w:r w:rsidRPr="00B407CC">
        <w:br/>
      </w:r>
      <w:r w:rsidRPr="00B407CC">
        <w:rPr>
          <w:cs/>
        </w:rPr>
        <w:t>จำเลยให้การรับสารภาพ แต่ให้การภายหลังจากที่ศาลได้สืบพยานโจทก์เสร็จสิ้นแล้ว</w:t>
      </w:r>
      <w:r w:rsidRPr="00B407CC">
        <w:br/>
      </w:r>
      <w:r w:rsidRPr="00B407CC">
        <w:rPr>
          <w:cs/>
        </w:rPr>
        <w:t>จากการสืบพยานโจทก์ปรากฏว่า อาวุธปืนของกลางมีรอยขูดลบเครื่องหมายทะเบียนและเลขประจำปืน ไม่สามารถยืนยันได้ว่าเดิมมีเลขหมายใด</w:t>
      </w:r>
    </w:p>
    <w:p w14:paraId="4045B352" w14:textId="77777777" w:rsidR="00B407CC" w:rsidRPr="00B407CC" w:rsidRDefault="00B407CC" w:rsidP="00B407CC">
      <w:r w:rsidRPr="00B407CC">
        <w:rPr>
          <w:b/>
          <w:bCs/>
          <w:cs/>
        </w:rPr>
        <w:t>แยกข้อกฎหมายและดุลพินิจของศาล</w:t>
      </w:r>
    </w:p>
    <w:p w14:paraId="4CFD17E5" w14:textId="77777777" w:rsidR="00B407CC" w:rsidRPr="00B407CC" w:rsidRDefault="00B407CC" w:rsidP="00B407CC">
      <w:pPr>
        <w:numPr>
          <w:ilvl w:val="0"/>
          <w:numId w:val="1"/>
        </w:numPr>
      </w:pPr>
      <w:r w:rsidRPr="00B407CC">
        <w:rPr>
          <w:cs/>
        </w:rPr>
        <w:t>ศาลอุทธรณ์วินิจฉัยว่า อาวุธปืนของกลางมีหมายเลขทะเบียนของผู้อื่น ซึ่งถูกขูดลบ</w:t>
      </w:r>
    </w:p>
    <w:p w14:paraId="248A947E" w14:textId="77777777" w:rsidR="00B407CC" w:rsidRPr="00B407CC" w:rsidRDefault="00B407CC" w:rsidP="00B407CC">
      <w:pPr>
        <w:numPr>
          <w:ilvl w:val="0"/>
          <w:numId w:val="1"/>
        </w:numPr>
      </w:pPr>
      <w:r w:rsidRPr="00B407CC">
        <w:rPr>
          <w:cs/>
        </w:rPr>
        <w:t xml:space="preserve">พิจารณาว่าเป็นการครอบครองอาวุธปืนของผู้อื่นโดยไม่ได้รับอนุญาต ตามมาตรา </w:t>
      </w:r>
      <w:r w:rsidRPr="00B407CC">
        <w:t xml:space="preserve">7, 72 </w:t>
      </w:r>
      <w:r w:rsidRPr="00B407CC">
        <w:rPr>
          <w:cs/>
        </w:rPr>
        <w:t>วรรคสาม แห่ง พ.ร.บ.อาวุธปืนฯ</w:t>
      </w:r>
    </w:p>
    <w:p w14:paraId="736F799E" w14:textId="77777777" w:rsidR="00B407CC" w:rsidRPr="00B407CC" w:rsidRDefault="00B407CC" w:rsidP="00B407CC">
      <w:pPr>
        <w:numPr>
          <w:ilvl w:val="0"/>
          <w:numId w:val="1"/>
        </w:numPr>
      </w:pPr>
      <w:r w:rsidRPr="00B407CC">
        <w:rPr>
          <w:cs/>
        </w:rPr>
        <w:t>ไม่ใช่กรณีที่ศาลอุทธรณ์ฟังข้อเท็จจริงผิดไปจากที่ปรากฏในสำนวน</w:t>
      </w:r>
    </w:p>
    <w:p w14:paraId="1699860E" w14:textId="77777777" w:rsidR="00B407CC" w:rsidRPr="00B407CC" w:rsidRDefault="00B407CC" w:rsidP="00B407CC">
      <w:pPr>
        <w:numPr>
          <w:ilvl w:val="0"/>
          <w:numId w:val="1"/>
        </w:numPr>
      </w:pPr>
      <w:r w:rsidRPr="00B407CC">
        <w:rPr>
          <w:cs/>
        </w:rPr>
        <w:t xml:space="preserve">แม้ไม่มีคำขอคืนของกลาง ศาลอุทธรณ์มีอำนาจสั่งคืนของกลางแก่เจ้าของได้ตาม ป.วิ.อ. มาตรา </w:t>
      </w:r>
      <w:r w:rsidRPr="00B407CC">
        <w:t xml:space="preserve">186 (9) </w:t>
      </w:r>
      <w:r w:rsidRPr="00B407CC">
        <w:rPr>
          <w:cs/>
        </w:rPr>
        <w:t xml:space="preserve">ประกอบ มาตรา </w:t>
      </w:r>
      <w:r w:rsidRPr="00B407CC">
        <w:t xml:space="preserve">49, 195 </w:t>
      </w:r>
      <w:r w:rsidRPr="00B407CC">
        <w:rPr>
          <w:cs/>
        </w:rPr>
        <w:t>วรรคสอง</w:t>
      </w:r>
      <w:r w:rsidRPr="00B407CC">
        <w:t>, 215</w:t>
      </w:r>
    </w:p>
    <w:p w14:paraId="1AB8910B" w14:textId="77777777" w:rsidR="00B407CC" w:rsidRPr="00B407CC" w:rsidRDefault="00B407CC" w:rsidP="00B407CC">
      <w:pPr>
        <w:numPr>
          <w:ilvl w:val="0"/>
          <w:numId w:val="1"/>
        </w:numPr>
      </w:pPr>
      <w:r w:rsidRPr="00B407CC">
        <w:rPr>
          <w:cs/>
        </w:rPr>
        <w:t>การคืนของกลางไม่เป็นการพิพากษาเกินคำขอ</w:t>
      </w:r>
    </w:p>
    <w:p w14:paraId="35A11130" w14:textId="77777777" w:rsidR="00B407CC" w:rsidRPr="00B407CC" w:rsidRDefault="00B407CC" w:rsidP="00B407CC">
      <w:r w:rsidRPr="00B407CC">
        <w:rPr>
          <w:b/>
          <w:bCs/>
          <w:cs/>
        </w:rPr>
        <w:t>สรุปคำพิพากษา</w:t>
      </w:r>
      <w:r w:rsidRPr="00B407CC">
        <w:br/>
      </w:r>
      <w:r w:rsidRPr="00B407CC">
        <w:rPr>
          <w:cs/>
        </w:rPr>
        <w:t>แม้จำเลยจะรับสารภาพในข้อหาครอบครองอาวุธปืนโดยไม่มีใบอนุญาต แต่การที่ให้การรับสารภาพหลัง</w:t>
      </w:r>
      <w:r w:rsidRPr="00B407CC">
        <w:rPr>
          <w:cs/>
        </w:rPr>
        <w:lastRenderedPageBreak/>
        <w:t>สืบพยานแล้ว และมีพยานโจทก์ยืนยันว่าอาวุธปืนมีรอยขูดลบทะเบียนและไม่สามารถระบุเลขประจำปืนเดิมได้ ศาลจึงถือว่าเป็นอาวุธปืนของผู้อื่น ศาลอุทธรณ์มีอำนาจรับฟังข้อเท็จจริงนั้นเป็นคุณแก่จำเลย และลงโทษตาม พ.ร.บ.อาวุธปืนฯ โดยชอบ และมีอำนาจคืนของกลางให้แก่เจ้าของได้แม้ไม่มีคำขอโดยไม่ถือว่าเกินคำขอแต่อย่างใด</w:t>
      </w:r>
    </w:p>
    <w:p w14:paraId="7F1D2F22" w14:textId="77777777" w:rsidR="00B407CC" w:rsidRPr="00B407CC" w:rsidRDefault="00B407CC" w:rsidP="00B407CC">
      <w:r w:rsidRPr="00B407CC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B407CC">
        <w:t xml:space="preserve">081-803-4097 </w:t>
      </w:r>
      <w:r w:rsidRPr="00B407CC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B407CC">
        <w:rPr>
          <w:cs/>
        </w:rPr>
        <w:t>เวป</w:t>
      </w:r>
      <w:proofErr w:type="spellEnd"/>
      <w:r w:rsidRPr="00B407CC">
        <w:rPr>
          <w:cs/>
        </w:rPr>
        <w:t>ไซ</w:t>
      </w:r>
      <w:proofErr w:type="spellStart"/>
      <w:r w:rsidRPr="00B407CC">
        <w:rPr>
          <w:cs/>
        </w:rPr>
        <w:t>ต์</w:t>
      </w:r>
      <w:proofErr w:type="spellEnd"/>
      <w:r w:rsidRPr="00B407CC">
        <w:t xml:space="preserve"> </w:t>
      </w:r>
      <w:hyperlink r:id="rId5" w:history="1">
        <w:r w:rsidRPr="00B407CC">
          <w:rPr>
            <w:rStyle w:val="Hyperlink"/>
          </w:rPr>
          <w:t>www.</w:t>
        </w:r>
        <w:r w:rsidRPr="00B407CC">
          <w:rPr>
            <w:rStyle w:val="Hyperlink"/>
            <w:cs/>
          </w:rPr>
          <w:t>สู้คดี.</w:t>
        </w:r>
        <w:r w:rsidRPr="00B407CC">
          <w:rPr>
            <w:rStyle w:val="Hyperlink"/>
          </w:rPr>
          <w:t>com</w:t>
        </w:r>
      </w:hyperlink>
      <w:r w:rsidRPr="00B407CC">
        <w:t xml:space="preserve"> </w:t>
      </w:r>
      <w:r w:rsidRPr="00B407CC">
        <w:rPr>
          <w:cs/>
        </w:rPr>
        <w:t>และ</w:t>
      </w:r>
      <w:r w:rsidRPr="00B407CC">
        <w:t xml:space="preserve"> </w:t>
      </w:r>
      <w:hyperlink r:id="rId6" w:history="1">
        <w:r w:rsidRPr="00B407CC">
          <w:rPr>
            <w:rStyle w:val="Hyperlink"/>
          </w:rPr>
          <w:t>www.</w:t>
        </w:r>
        <w:r w:rsidRPr="00B407CC">
          <w:rPr>
            <w:rStyle w:val="Hyperlink"/>
            <w:cs/>
          </w:rPr>
          <w:t>ทนายภูวงษ์.</w:t>
        </w:r>
        <w:r w:rsidRPr="00B407CC">
          <w:rPr>
            <w:rStyle w:val="Hyperlink"/>
          </w:rPr>
          <w:t>com</w:t>
        </w:r>
      </w:hyperlink>
    </w:p>
    <w:p w14:paraId="1531569E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276D3F"/>
    <w:multiLevelType w:val="multilevel"/>
    <w:tmpl w:val="A2F87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5816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7CC"/>
    <w:rsid w:val="000554F2"/>
    <w:rsid w:val="001C2C6A"/>
    <w:rsid w:val="002B6232"/>
    <w:rsid w:val="00A43436"/>
    <w:rsid w:val="00AF4A52"/>
    <w:rsid w:val="00B407CC"/>
    <w:rsid w:val="00D1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630C7"/>
  <w15:chartTrackingRefBased/>
  <w15:docId w15:val="{00236DC0-AB44-4F1D-B56D-AB51C3B2D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07C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07C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07C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07C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07C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07C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07C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07C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07C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07C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07C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07C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07C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07C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07C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07C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07C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07C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07C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407C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07C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407C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407C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07C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07C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407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07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07C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07C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407C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07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2025-07-27T02:37:00Z</dcterms:created>
  <dcterms:modified xsi:type="dcterms:W3CDTF">2025-07-27T02:37:00Z</dcterms:modified>
</cp:coreProperties>
</file>