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D635B" w14:textId="77777777" w:rsidR="009202C7" w:rsidRPr="009202C7" w:rsidRDefault="009202C7" w:rsidP="009202C7">
      <w:r w:rsidRPr="009202C7">
        <w:rPr>
          <w:cs/>
        </w:rPr>
        <w:t xml:space="preserve">ลำดับที่ </w:t>
      </w:r>
      <w:r w:rsidRPr="009202C7">
        <w:t>000328</w:t>
      </w:r>
      <w:r w:rsidRPr="009202C7">
        <w:br/>
      </w:r>
      <w:r w:rsidRPr="009202C7">
        <w:rPr>
          <w:cs/>
        </w:rPr>
        <w:t>หัวข้อเรื่อง การยักย้ายปิดบังทรัพย์มรดกโดยทายาท และสิทธิของผู้สืบสันดานในการรับมรดกแทน</w:t>
      </w:r>
    </w:p>
    <w:p w14:paraId="34796E5B" w14:textId="77777777" w:rsidR="009202C7" w:rsidRPr="009202C7" w:rsidRDefault="009202C7" w:rsidP="009202C7">
      <w:r w:rsidRPr="009202C7">
        <w:rPr>
          <w:cs/>
        </w:rPr>
        <w:t xml:space="preserve">วิเคราะห์ฎีกาที่ </w:t>
      </w:r>
      <w:r w:rsidRPr="009202C7">
        <w:t>478/2539</w:t>
      </w:r>
      <w:r w:rsidRPr="009202C7">
        <w:br/>
      </w:r>
      <w:r w:rsidRPr="009202C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202C7">
        <w:t>0818034097</w:t>
      </w:r>
    </w:p>
    <w:p w14:paraId="318B59CC" w14:textId="77777777" w:rsidR="009202C7" w:rsidRPr="009202C7" w:rsidRDefault="009202C7" w:rsidP="009202C7">
      <w:r w:rsidRPr="009202C7">
        <w:rPr>
          <w:cs/>
        </w:rPr>
        <w:t>กฎหมายเกี่ยวกับอะไร</w:t>
      </w:r>
      <w:r w:rsidRPr="009202C7">
        <w:br/>
      </w:r>
      <w:r w:rsidRPr="009202C7">
        <w:rPr>
          <w:cs/>
        </w:rPr>
        <w:t xml:space="preserve">เกี่ยวกับกฎหมายมรดกตามประมวลกฎหมายแพ่งและพาณิชย์ มาตรา </w:t>
      </w:r>
      <w:r w:rsidRPr="009202C7">
        <w:t xml:space="preserve">1382, 145(2), 1605, 1607 </w:t>
      </w:r>
      <w:r w:rsidRPr="009202C7">
        <w:rPr>
          <w:cs/>
        </w:rPr>
        <w:t xml:space="preserve">และ </w:t>
      </w:r>
      <w:r w:rsidRPr="009202C7">
        <w:t xml:space="preserve">1639 </w:t>
      </w:r>
      <w:r w:rsidRPr="009202C7">
        <w:rPr>
          <w:cs/>
        </w:rPr>
        <w:t xml:space="preserve">รวมถึงกฎหมายวิธีพิจารณาความแพ่ง มาตรา </w:t>
      </w:r>
      <w:r w:rsidRPr="009202C7">
        <w:t>249</w:t>
      </w:r>
    </w:p>
    <w:p w14:paraId="4A00BE8D" w14:textId="77777777" w:rsidR="009202C7" w:rsidRPr="009202C7" w:rsidRDefault="009202C7" w:rsidP="009202C7">
      <w:r w:rsidRPr="009202C7">
        <w:rPr>
          <w:cs/>
        </w:rPr>
        <w:t>วิเคราะห์คำพิพากษา</w:t>
      </w:r>
      <w:r w:rsidRPr="009202C7">
        <w:br/>
      </w:r>
      <w:r w:rsidRPr="009202C7">
        <w:rPr>
          <w:b/>
          <w:bCs/>
          <w:cs/>
        </w:rPr>
        <w:t>ข้อเท็จจริง</w:t>
      </w:r>
      <w:r w:rsidRPr="009202C7">
        <w:br/>
      </w:r>
      <w:r w:rsidRPr="009202C7">
        <w:rPr>
          <w:cs/>
        </w:rPr>
        <w:t xml:space="preserve">ที่ดินพิพาทตามโฉนดเลขที่ </w:t>
      </w:r>
      <w:r w:rsidRPr="009202C7">
        <w:t xml:space="preserve">2505 </w:t>
      </w:r>
      <w:r w:rsidRPr="009202C7">
        <w:rPr>
          <w:cs/>
        </w:rPr>
        <w:t xml:space="preserve">เป็นทรัพย์มรดกของนายบุญช่วย (บ.) มีทายาท </w:t>
      </w:r>
      <w:r w:rsidRPr="009202C7">
        <w:t xml:space="preserve">4 </w:t>
      </w:r>
      <w:r w:rsidRPr="009202C7">
        <w:rPr>
          <w:cs/>
        </w:rPr>
        <w:t xml:space="preserve">คนคือ โจทก์ที่ </w:t>
      </w:r>
      <w:r w:rsidRPr="009202C7">
        <w:t xml:space="preserve">1, </w:t>
      </w:r>
      <w:r w:rsidRPr="009202C7">
        <w:rPr>
          <w:cs/>
        </w:rPr>
        <w:t xml:space="preserve">โจทก์ที่ </w:t>
      </w:r>
      <w:r w:rsidRPr="009202C7">
        <w:t xml:space="preserve">2, </w:t>
      </w:r>
      <w:r w:rsidRPr="009202C7">
        <w:rPr>
          <w:cs/>
        </w:rPr>
        <w:t xml:space="preserve">จำเลย และนายจ. โดยนายจ. ตายก่อน บ. และมีบุตร </w:t>
      </w:r>
      <w:r w:rsidRPr="009202C7">
        <w:t xml:space="preserve">3 </w:t>
      </w:r>
      <w:r w:rsidRPr="009202C7">
        <w:rPr>
          <w:cs/>
        </w:rPr>
        <w:t xml:space="preserve">คน เมื่อ บ. ตายโดยไม่ได้ทำพินัยกรรม ที่ดินจึงตกเป็นมรดกแก่ทายาทร่วมกัน จำเลยยื่นคำร้องต่อศาลขอรับรองกรรมสิทธิ์ในที่ดินทั้งแปลง โดยอ้างว่าครอบครองโดยสงบ เปิดเผย และเจตนาเป็นเจ้าของเกิน </w:t>
      </w:r>
      <w:r w:rsidRPr="009202C7">
        <w:t xml:space="preserve">10 </w:t>
      </w:r>
      <w:r w:rsidRPr="009202C7">
        <w:rPr>
          <w:cs/>
        </w:rPr>
        <w:t>ปี ซึ่งศาลชั้นต้นมีคำสั่งตามคำร้อง</w:t>
      </w:r>
    </w:p>
    <w:p w14:paraId="199B0017" w14:textId="77777777" w:rsidR="009202C7" w:rsidRPr="009202C7" w:rsidRDefault="009202C7" w:rsidP="009202C7">
      <w:r w:rsidRPr="009202C7">
        <w:rPr>
          <w:cs/>
        </w:rPr>
        <w:t>ต่อมา โจทก์ที่มิใช่คู่ความในคดีนั้นยื่นฟ้องว่าที่ดินดังกล่าวเป็นมรดก จำเลยไม่มีสิทธิครอบครองทั้งแปลงโดยสิทธิแต่เพียงผู้เดียว</w:t>
      </w:r>
    </w:p>
    <w:p w14:paraId="6A5F362A" w14:textId="77777777" w:rsidR="009202C7" w:rsidRPr="009202C7" w:rsidRDefault="009202C7" w:rsidP="009202C7">
      <w:r w:rsidRPr="009202C7">
        <w:rPr>
          <w:b/>
          <w:bCs/>
          <w:cs/>
        </w:rPr>
        <w:t>ข้อกฎหมายและดุลพินิจของศาล</w:t>
      </w:r>
    </w:p>
    <w:p w14:paraId="61ADD1DB" w14:textId="77777777" w:rsidR="009202C7" w:rsidRPr="009202C7" w:rsidRDefault="009202C7" w:rsidP="009202C7">
      <w:pPr>
        <w:numPr>
          <w:ilvl w:val="0"/>
          <w:numId w:val="1"/>
        </w:numPr>
      </w:pPr>
      <w:r w:rsidRPr="009202C7">
        <w:rPr>
          <w:cs/>
        </w:rPr>
        <w:t xml:space="preserve">แม้จะมีคำสั่งศาลชั้นต้นในคดีแพ่งที่จำเลยขอรับกรรมสิทธิ์ในที่ดินโดยการครอบครอง แต่โจทก์ไม่ใช่คู่ความในคดีนั้น ศาลจึงเห็นว่าคำสั่งนั้นไม่ผูกพันโจทก์ตาม ป.วิ.พ. มาตรา </w:t>
      </w:r>
      <w:r w:rsidRPr="009202C7">
        <w:t>145 (2)</w:t>
      </w:r>
    </w:p>
    <w:p w14:paraId="6458AE46" w14:textId="77777777" w:rsidR="009202C7" w:rsidRPr="009202C7" w:rsidRDefault="009202C7" w:rsidP="009202C7">
      <w:pPr>
        <w:numPr>
          <w:ilvl w:val="0"/>
          <w:numId w:val="1"/>
        </w:numPr>
      </w:pPr>
      <w:r w:rsidRPr="009202C7">
        <w:rPr>
          <w:cs/>
        </w:rPr>
        <w:t xml:space="preserve">จำเลยไม่มีพฤติการณ์ครอบครองที่ดินโดยสงบ เปิดเผย และเจตนาเป็นเจ้าของเกิน </w:t>
      </w:r>
      <w:r w:rsidRPr="009202C7">
        <w:t xml:space="preserve">10 </w:t>
      </w:r>
      <w:r w:rsidRPr="009202C7">
        <w:rPr>
          <w:cs/>
        </w:rPr>
        <w:t>ปี ศาลจึงเห็นว่าการยื่นคำร้องดังกล่าวเพื่อยักย้ายหรือปิดบังทรัพย์มรดกเกินส่วนที่ตนมีสิทธิ ถือเป็นการกระทำโดยฉ้อฉล ทำให้จำเลยถูก “กำจัดมิให้ได้รับมรดก” ตาม ป.</w:t>
      </w:r>
      <w:proofErr w:type="spellStart"/>
      <w:r w:rsidRPr="009202C7">
        <w:rPr>
          <w:cs/>
        </w:rPr>
        <w:t>พ.พ</w:t>
      </w:r>
      <w:proofErr w:type="spellEnd"/>
      <w:r w:rsidRPr="009202C7">
        <w:rPr>
          <w:cs/>
        </w:rPr>
        <w:t xml:space="preserve">. มาตรา </w:t>
      </w:r>
      <w:r w:rsidRPr="009202C7">
        <w:t xml:space="preserve">1605 </w:t>
      </w:r>
      <w:r w:rsidRPr="009202C7">
        <w:rPr>
          <w:cs/>
        </w:rPr>
        <w:t>วรรคหนึ่ง</w:t>
      </w:r>
    </w:p>
    <w:p w14:paraId="3922ACF7" w14:textId="77777777" w:rsidR="009202C7" w:rsidRPr="009202C7" w:rsidRDefault="009202C7" w:rsidP="009202C7">
      <w:pPr>
        <w:numPr>
          <w:ilvl w:val="0"/>
          <w:numId w:val="1"/>
        </w:numPr>
      </w:pPr>
      <w:r w:rsidRPr="009202C7">
        <w:rPr>
          <w:cs/>
        </w:rPr>
        <w:t xml:space="preserve">แม้จำเลยจะถูกกำจัดมิให้รับมรดกหลังเจ้ามรดกตาย แต่บุตรของจำเลยยังสามารถสืบมรดกต่อได้เหมือนจำเลยตายก่อนเจ้ามรดกตาม มาตรา </w:t>
      </w:r>
      <w:r w:rsidRPr="009202C7">
        <w:t xml:space="preserve">1607 </w:t>
      </w:r>
      <w:r w:rsidRPr="009202C7">
        <w:rPr>
          <w:cs/>
        </w:rPr>
        <w:t xml:space="preserve">โดยบทบัญญัตินี้ไม่อยู่ภายใต้บังคับของมาตรา </w:t>
      </w:r>
      <w:r w:rsidRPr="009202C7">
        <w:t>1639</w:t>
      </w:r>
    </w:p>
    <w:p w14:paraId="02524B0A" w14:textId="77777777" w:rsidR="009202C7" w:rsidRPr="009202C7" w:rsidRDefault="009202C7" w:rsidP="009202C7">
      <w:pPr>
        <w:numPr>
          <w:ilvl w:val="0"/>
          <w:numId w:val="1"/>
        </w:numPr>
      </w:pPr>
      <w:r w:rsidRPr="009202C7">
        <w:rPr>
          <w:cs/>
        </w:rPr>
        <w:lastRenderedPageBreak/>
        <w:t xml:space="preserve">ส่วนข้อฎีกาของจำเลยในเรื่องที่โจทก์ที่ </w:t>
      </w:r>
      <w:r w:rsidRPr="009202C7">
        <w:t xml:space="preserve">1 </w:t>
      </w:r>
      <w:r w:rsidRPr="009202C7">
        <w:rPr>
          <w:cs/>
        </w:rPr>
        <w:t xml:space="preserve">เคยเบิกความในคดีแพ่งรับรองการครอบครองของจำเลย และข้อเกี่ยวกับอายุความ ศาลฎีกาไม่รับวินิจฉัย เพราะไม่ได้ยกขึ้นโดยชอบในศาลล่างตาม ป.วิ.พ. มาตรา </w:t>
      </w:r>
      <w:r w:rsidRPr="009202C7">
        <w:t>249</w:t>
      </w:r>
    </w:p>
    <w:p w14:paraId="2A1560CD" w14:textId="77777777" w:rsidR="009202C7" w:rsidRPr="009202C7" w:rsidRDefault="009202C7" w:rsidP="009202C7">
      <w:r w:rsidRPr="009202C7">
        <w:rPr>
          <w:cs/>
        </w:rPr>
        <w:t>สรุปคำพิพากษา</w:t>
      </w:r>
      <w:r w:rsidRPr="009202C7">
        <w:br/>
      </w:r>
      <w:r w:rsidRPr="009202C7">
        <w:rPr>
          <w:cs/>
        </w:rPr>
        <w:t xml:space="preserve">จำเลยไม่มีสิทธิครอบครองที่ดินทั้งแปลงโดยการครอบครอง และการนำคำสั่งศาลไปจดทะเบียนรับโอนกรรมสิทธิ์เป็นการปิดบังทรัพย์มรดกเกินส่วนของตนโดยฉ้อฉล จึงถูกกำจัดมิให้ได้รับมรดกตามมาตรา </w:t>
      </w:r>
      <w:r w:rsidRPr="009202C7">
        <w:t xml:space="preserve">1605 </w:t>
      </w:r>
      <w:r w:rsidRPr="009202C7">
        <w:rPr>
          <w:cs/>
        </w:rPr>
        <w:t xml:space="preserve">อย่างไรก็ดี บุตรของจำเลยในฐานะผู้สืบสันดานยังมีสิทธิรับมรดกแทนจำเลยได้ตามมาตรา </w:t>
      </w:r>
      <w:r w:rsidRPr="009202C7">
        <w:t>1607</w:t>
      </w:r>
    </w:p>
    <w:p w14:paraId="112F6BB9" w14:textId="77777777" w:rsidR="009202C7" w:rsidRPr="009202C7" w:rsidRDefault="009202C7" w:rsidP="009202C7">
      <w:r w:rsidRPr="009202C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202C7">
        <w:t xml:space="preserve">081-803-4097 </w:t>
      </w:r>
      <w:r w:rsidRPr="009202C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202C7">
        <w:rPr>
          <w:cs/>
        </w:rPr>
        <w:t>เวป</w:t>
      </w:r>
      <w:proofErr w:type="spellEnd"/>
      <w:r w:rsidRPr="009202C7">
        <w:rPr>
          <w:cs/>
        </w:rPr>
        <w:t>ไซ</w:t>
      </w:r>
      <w:proofErr w:type="spellStart"/>
      <w:r w:rsidRPr="009202C7">
        <w:rPr>
          <w:cs/>
        </w:rPr>
        <w:t>ต์</w:t>
      </w:r>
      <w:proofErr w:type="spellEnd"/>
      <w:r w:rsidRPr="009202C7">
        <w:t xml:space="preserve"> </w:t>
      </w:r>
      <w:hyperlink r:id="rId5" w:history="1">
        <w:r w:rsidRPr="009202C7">
          <w:rPr>
            <w:rStyle w:val="Hyperlink"/>
          </w:rPr>
          <w:t>www.</w:t>
        </w:r>
        <w:r w:rsidRPr="009202C7">
          <w:rPr>
            <w:rStyle w:val="Hyperlink"/>
            <w:cs/>
          </w:rPr>
          <w:t>สู้คดี.</w:t>
        </w:r>
        <w:r w:rsidRPr="009202C7">
          <w:rPr>
            <w:rStyle w:val="Hyperlink"/>
          </w:rPr>
          <w:t>com</w:t>
        </w:r>
      </w:hyperlink>
      <w:r w:rsidRPr="009202C7">
        <w:t xml:space="preserve"> </w:t>
      </w:r>
      <w:r w:rsidRPr="009202C7">
        <w:rPr>
          <w:cs/>
        </w:rPr>
        <w:t>และ</w:t>
      </w:r>
      <w:r w:rsidRPr="009202C7">
        <w:t xml:space="preserve"> </w:t>
      </w:r>
      <w:hyperlink r:id="rId6" w:history="1">
        <w:r w:rsidRPr="009202C7">
          <w:rPr>
            <w:rStyle w:val="Hyperlink"/>
          </w:rPr>
          <w:t>www.</w:t>
        </w:r>
        <w:r w:rsidRPr="009202C7">
          <w:rPr>
            <w:rStyle w:val="Hyperlink"/>
            <w:cs/>
          </w:rPr>
          <w:t>ทนายภูวงษ์.</w:t>
        </w:r>
        <w:r w:rsidRPr="009202C7">
          <w:rPr>
            <w:rStyle w:val="Hyperlink"/>
          </w:rPr>
          <w:t>com</w:t>
        </w:r>
      </w:hyperlink>
    </w:p>
    <w:p w14:paraId="48590832" w14:textId="77777777" w:rsidR="002B6232" w:rsidRPr="009202C7" w:rsidRDefault="002B6232"/>
    <w:sectPr w:rsidR="002B6232" w:rsidRPr="00920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10C73"/>
    <w:multiLevelType w:val="multilevel"/>
    <w:tmpl w:val="944CB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449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C7"/>
    <w:rsid w:val="000554F2"/>
    <w:rsid w:val="001C2C6A"/>
    <w:rsid w:val="002B6232"/>
    <w:rsid w:val="009202C7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5EFC"/>
  <w15:chartTrackingRefBased/>
  <w15:docId w15:val="{10784B72-0E9D-4D1F-8CB4-EF34B4EE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2C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2C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2C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2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2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2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2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2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2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2C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2C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2C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2C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2C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2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2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2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2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2C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202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2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202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202C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2C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2C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202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2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2C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2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2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2025-07-27T04:14:00Z</dcterms:created>
  <dcterms:modified xsi:type="dcterms:W3CDTF">2025-07-27T04:15:00Z</dcterms:modified>
</cp:coreProperties>
</file>