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29C96" w14:textId="77777777" w:rsidR="00931A4D" w:rsidRDefault="00931A4D" w:rsidP="00931A4D">
      <w:r>
        <w:rPr>
          <w:cs/>
        </w:rPr>
        <w:t>ลำดับที่ 380</w:t>
      </w:r>
    </w:p>
    <w:p w14:paraId="2598FFBD" w14:textId="541E2D0C" w:rsidR="00931A4D" w:rsidRDefault="00931A4D" w:rsidP="00931A4D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สัญญาจ้างทนายความโดยให้ค่าจ้างเป็นที่ดิน หากมีลักษณะคล้ายการรับช่วงสิทธิในการฟ้องคดี อาจตกเป็นโมฆะ</w:t>
      </w:r>
    </w:p>
    <w:p w14:paraId="4DF22AD7" w14:textId="77777777" w:rsidR="00931A4D" w:rsidRDefault="00931A4D" w:rsidP="00931A4D">
      <w:r>
        <w:rPr>
          <w:cs/>
        </w:rPr>
        <w:t>วิเคราะห์ฎีกาที่ 921/2542</w:t>
      </w:r>
    </w:p>
    <w:p w14:paraId="5E624675" w14:textId="77777777" w:rsidR="00931A4D" w:rsidRDefault="00931A4D" w:rsidP="00931A4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B35D3DC" w14:textId="77777777" w:rsidR="00931A4D" w:rsidRDefault="00931A4D" w:rsidP="00931A4D"/>
    <w:p w14:paraId="5B0DAB90" w14:textId="77777777" w:rsidR="00931A4D" w:rsidRDefault="00931A4D" w:rsidP="00931A4D">
      <w:r>
        <w:rPr>
          <w:cs/>
        </w:rPr>
        <w:t>กฎหมายเกี่ยวกับอะไร</w:t>
      </w:r>
    </w:p>
    <w:p w14:paraId="367B8AE8" w14:textId="77777777" w:rsidR="00931A4D" w:rsidRDefault="00931A4D" w:rsidP="00931A4D">
      <w:r>
        <w:rPr>
          <w:cs/>
        </w:rPr>
        <w:t>เกี่ยวกับนิติกรรมที่ตกเป็นโมฆะตามประมวลกฎหมายแพ่งและพาณิชย์ มาตรา 150 และข้อบังคับว่าด้วยมรรยาททนายความ</w:t>
      </w:r>
    </w:p>
    <w:p w14:paraId="3C8CA6B8" w14:textId="77777777" w:rsidR="00931A4D" w:rsidRDefault="00931A4D" w:rsidP="00931A4D"/>
    <w:p w14:paraId="7AE4C2C6" w14:textId="77777777" w:rsidR="00931A4D" w:rsidRDefault="00931A4D" w:rsidP="00931A4D">
      <w:r>
        <w:rPr>
          <w:cs/>
        </w:rPr>
        <w:t>วิเคราะห์คำพิพากษาฎีกาเลขที่ 921/2542</w:t>
      </w:r>
    </w:p>
    <w:p w14:paraId="35110F48" w14:textId="77777777" w:rsidR="00931A4D" w:rsidRDefault="00931A4D" w:rsidP="00931A4D">
      <w:r>
        <w:rPr>
          <w:cs/>
        </w:rPr>
        <w:t>ข้อเท็จจริง</w:t>
      </w:r>
    </w:p>
    <w:p w14:paraId="6A83FF9E" w14:textId="77777777" w:rsidR="00931A4D" w:rsidRDefault="00931A4D" w:rsidP="00931A4D">
      <w:r>
        <w:rPr>
          <w:cs/>
        </w:rPr>
        <w:t>โจทก์เป็นทนายความซึ่งรับจ้างจำเลยว่าความ โดยมีการตกลงว่าหากจำเลยชนะคดี จะให้ที่ดินจำนวน 200 ตารางวา ซึ่งเป็นส่วนหนึ่งของทรัพย์ที่เป็นข้อพิพาทกับบุคคลอื่น เป็นค่าจ้างแก่โจทก์</w:t>
      </w:r>
    </w:p>
    <w:p w14:paraId="64F22EA8" w14:textId="77777777" w:rsidR="00931A4D" w:rsidRDefault="00931A4D" w:rsidP="00931A4D">
      <w:r>
        <w:rPr>
          <w:cs/>
        </w:rPr>
        <w:t>เดิมทีโจทก์ไม่มีสิทธิหรือความเกี่ยวข้องในที่ดินพิพาทดังกล่าวเลย</w:t>
      </w:r>
    </w:p>
    <w:p w14:paraId="39F4D034" w14:textId="77777777" w:rsidR="00931A4D" w:rsidRDefault="00931A4D" w:rsidP="00931A4D"/>
    <w:p w14:paraId="7FE42750" w14:textId="77777777" w:rsidR="00931A4D" w:rsidRDefault="00931A4D" w:rsidP="00931A4D">
      <w:r>
        <w:rPr>
          <w:cs/>
        </w:rPr>
        <w:t>ข้อกฎหมายและดุลพินิจของศาล</w:t>
      </w:r>
    </w:p>
    <w:p w14:paraId="6EC532C1" w14:textId="77777777" w:rsidR="00931A4D" w:rsidRDefault="00931A4D" w:rsidP="00931A4D">
      <w:r>
        <w:rPr>
          <w:cs/>
        </w:rPr>
        <w:t>ศาลพิจารณาว่า แม้สัญญาจ้างว่าความลักษณะนี้จะไม่ขัดต่อ พ.ร.บ.ทนายความ พ.ศ. 2528 หรือข้อบังคับสภาทนายความว่าด้วยมรรยาททนายความ พ.ศ. 2529 โดยตรง แต่สัญญาจ้างว่าความที่ระบุให้ทนายความได้รับส่วนแบ่งจากทรัพย์สินที่เป็นข้อพิพาทโดยตรง มีลักษณะคล้ายการโอนสิทธิในการดำเนินคดีมาให้ทนายความ และทนายจะได้รับค่าจ้างก็ต่อเมื่อฝ่ายตนชนะคดี</w:t>
      </w:r>
    </w:p>
    <w:p w14:paraId="1E38F859" w14:textId="77777777" w:rsidR="00931A4D" w:rsidRDefault="00931A4D" w:rsidP="00931A4D">
      <w:r>
        <w:rPr>
          <w:cs/>
        </w:rPr>
        <w:t>การกระทำลักษณะนี้เป็นการส่งเสริมให้บุคคลเป็นความกันในศาลโดยมีผลประโยชน์แอบแฝง ซึ่งเป็นการขัดต่อความสงบเรียบร้อยและศีลธรรมอันดีของประชาชน</w:t>
      </w:r>
    </w:p>
    <w:p w14:paraId="0A9C26E8" w14:textId="77777777" w:rsidR="00931A4D" w:rsidRDefault="00931A4D" w:rsidP="00931A4D">
      <w:r>
        <w:rPr>
          <w:cs/>
        </w:rPr>
        <w:t>ศาลจึงวินิจฉัยว่าสัญญาดังกล่าวตกเป็น โมฆะ ตามประมวลกฎหมายแพ่งและพาณิชย์ มาตรา 150</w:t>
      </w:r>
    </w:p>
    <w:p w14:paraId="238D4B14" w14:textId="77777777" w:rsidR="00931A4D" w:rsidRDefault="00931A4D" w:rsidP="00931A4D"/>
    <w:p w14:paraId="7E860BF6" w14:textId="77777777" w:rsidR="00931A4D" w:rsidRDefault="00931A4D" w:rsidP="00931A4D">
      <w:r>
        <w:rPr>
          <w:cs/>
        </w:rPr>
        <w:lastRenderedPageBreak/>
        <w:t>สรุปคำพิพากษา</w:t>
      </w:r>
    </w:p>
    <w:p w14:paraId="7785EA6E" w14:textId="77777777" w:rsidR="00931A4D" w:rsidRDefault="00931A4D" w:rsidP="00931A4D">
      <w:r>
        <w:rPr>
          <w:cs/>
        </w:rPr>
        <w:t>สัญญาจ้างว่าความที่กำหนดให้ทนายความได้รับค่าจ้างเป็นส่วนแบ่งในทรัพย์ที่เป็นข้อพิพาทระหว่างจำเลยกับบุคคลอื่น ถือว่ามีลักษณะขัดต่อความสงบเรียบร้อยและศีลธรรมอันดีของประชาชน จึงตกเป็นโมฆะ แม้จะไม่ขัดต่อกฎหมายทนายความหรือข้อบังคับมรรยาทโดยตรงก็ตาม</w:t>
      </w:r>
    </w:p>
    <w:p w14:paraId="677F66C9" w14:textId="77777777" w:rsidR="00931A4D" w:rsidRDefault="00931A4D" w:rsidP="00931A4D"/>
    <w:p w14:paraId="3CA5D574" w14:textId="1D970B5B" w:rsidR="002B6232" w:rsidRDefault="00931A4D" w:rsidP="00931A4D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A4D"/>
    <w:rsid w:val="000554F2"/>
    <w:rsid w:val="002B6232"/>
    <w:rsid w:val="00931A4D"/>
    <w:rsid w:val="00A12B7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144E"/>
  <w15:chartTrackingRefBased/>
  <w15:docId w15:val="{34441916-8F77-45F4-8933-5580C07D2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1A4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A4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1A4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1A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1A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A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A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A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A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1A4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A4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1A4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1A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1A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A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A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A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A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1A4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31A4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1A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31A4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31A4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1A4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1A4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31A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1A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1A4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1A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2025-07-18T21:24:00Z</dcterms:created>
  <dcterms:modified xsi:type="dcterms:W3CDTF">2025-07-18T21:25:00Z</dcterms:modified>
</cp:coreProperties>
</file>