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EBDCF35" w14:textId="77777777" w:rsidR="0076766F" w:rsidRDefault="0076766F" w:rsidP="0076766F">
      <w:r>
        <w:rPr>
          <w:cs/>
        </w:rPr>
        <w:t xml:space="preserve">ลำดับที่ </w:t>
      </w:r>
      <w:r>
        <w:t>388</w:t>
      </w:r>
    </w:p>
    <w:p w14:paraId="26B0000F" w14:textId="33B4E8D4" w:rsidR="0076766F" w:rsidRDefault="0076766F" w:rsidP="0076766F">
      <w:r>
        <w:rPr>
          <w:rFonts w:hint="cs"/>
          <w:cs/>
        </w:rPr>
        <w:t xml:space="preserve">หัวข้อเรื่อง </w:t>
      </w:r>
      <w:r>
        <w:rPr>
          <w:cs/>
        </w:rPr>
        <w:t>เจตนาในการร่วมก่อเหตุทำร้ายร่างกายโดยไตร่ตรองไว้ก่อนซึ่งพลาดถึงแก่ความตาย</w:t>
      </w:r>
    </w:p>
    <w:p w14:paraId="48FEF912" w14:textId="77777777" w:rsidR="0076766F" w:rsidRDefault="0076766F" w:rsidP="0076766F">
      <w:r>
        <w:rPr>
          <w:cs/>
        </w:rPr>
        <w:t xml:space="preserve">วิเคราะห์ฎีกาที่ </w:t>
      </w:r>
      <w:r>
        <w:t>6020/2559</w:t>
      </w:r>
    </w:p>
    <w:p w14:paraId="78A5F529" w14:textId="77777777" w:rsidR="0076766F" w:rsidRDefault="0076766F" w:rsidP="0076766F">
      <w:r>
        <w:rPr>
          <w:cs/>
        </w:rPr>
        <w:t xml:space="preserve">วิเคราะห์คำพิพากษาฎีกา โดยทนายภูวงษ์ ปรึกษากฎหมาย ปรึกษาคดีความ โทร. </w:t>
      </w:r>
      <w:r>
        <w:t>0818034097</w:t>
      </w:r>
    </w:p>
    <w:p w14:paraId="11BB2CFE" w14:textId="77777777" w:rsidR="0076766F" w:rsidRDefault="0076766F" w:rsidP="0076766F"/>
    <w:p w14:paraId="54B9D2EE" w14:textId="77777777" w:rsidR="0076766F" w:rsidRDefault="0076766F" w:rsidP="0076766F">
      <w:r>
        <w:rPr>
          <w:cs/>
        </w:rPr>
        <w:t>กฎหมายเกี่ยวกับอะไร</w:t>
      </w:r>
    </w:p>
    <w:p w14:paraId="77DDD950" w14:textId="77777777" w:rsidR="0076766F" w:rsidRDefault="0076766F" w:rsidP="0076766F">
      <w:r>
        <w:rPr>
          <w:cs/>
        </w:rPr>
        <w:t xml:space="preserve">กฎหมายอาญา ความผิดเกี่ยวกับการทำร้ายร่างกาย และการฆ่าผู้อื่นโดยพลาดตาม </w:t>
      </w:r>
      <w:proofErr w:type="spellStart"/>
      <w:r>
        <w:rPr>
          <w:cs/>
        </w:rPr>
        <w:t>ป.อ</w:t>
      </w:r>
      <w:proofErr w:type="spellEnd"/>
      <w:r>
        <w:rPr>
          <w:cs/>
        </w:rPr>
        <w:t xml:space="preserve">. มาตรา </w:t>
      </w:r>
      <w:r>
        <w:t>290</w:t>
      </w:r>
      <w:r>
        <w:rPr>
          <w:cs/>
        </w:rPr>
        <w:t xml:space="preserve"> วรรคสอง</w:t>
      </w:r>
      <w:r>
        <w:t>, 296, 60, 80</w:t>
      </w:r>
      <w:r>
        <w:rPr>
          <w:cs/>
        </w:rPr>
        <w:t xml:space="preserve"> และหลักในการวินิจฉัยโทษตาม ป.วิ.อ. มาตรา </w:t>
      </w:r>
      <w:r>
        <w:t>192</w:t>
      </w:r>
      <w:r>
        <w:rPr>
          <w:cs/>
        </w:rPr>
        <w:t xml:space="preserve"> วรรคท้าย</w:t>
      </w:r>
      <w:r>
        <w:t>, 215</w:t>
      </w:r>
      <w:r>
        <w:rPr>
          <w:cs/>
        </w:rPr>
        <w:t xml:space="preserve"> และ </w:t>
      </w:r>
      <w:r>
        <w:t>225</w:t>
      </w:r>
    </w:p>
    <w:p w14:paraId="14E6BEA3" w14:textId="77777777" w:rsidR="0076766F" w:rsidRDefault="0076766F" w:rsidP="0076766F"/>
    <w:p w14:paraId="732C2E55" w14:textId="77777777" w:rsidR="0076766F" w:rsidRDefault="0076766F" w:rsidP="0076766F">
      <w:r>
        <w:rPr>
          <w:cs/>
        </w:rPr>
        <w:t xml:space="preserve">คำพิพากษาฎีกาที่ </w:t>
      </w:r>
      <w:r>
        <w:t>6020/2559</w:t>
      </w:r>
    </w:p>
    <w:p w14:paraId="00FA58C9" w14:textId="77777777" w:rsidR="0076766F" w:rsidRDefault="0076766F" w:rsidP="0076766F">
      <w:r>
        <w:rPr>
          <w:cs/>
        </w:rPr>
        <w:t>ข้อเท็จจริง</w:t>
      </w:r>
    </w:p>
    <w:p w14:paraId="1F2CCBB2" w14:textId="77777777" w:rsidR="0076766F" w:rsidRDefault="0076766F" w:rsidP="0076766F">
      <w:r>
        <w:rPr>
          <w:cs/>
        </w:rPr>
        <w:t xml:space="preserve">จำเลยที่ </w:t>
      </w:r>
      <w:r>
        <w:t>1</w:t>
      </w:r>
      <w:r>
        <w:rPr>
          <w:cs/>
        </w:rPr>
        <w:t xml:space="preserve"> ร่วมเดินทางไปกับพวกที่จงใจจะไปทำร้ายผู้เสียหาย โดยทราบเจตนาล่วงหน้า และหลังเกิดเหตุได้หลบหนีไปด้วยกัน พฤติการณ์ดังกล่าวแสดงถึงการมีเจตนาและความร่วมมือในการก่อเหตุ</w:t>
      </w:r>
    </w:p>
    <w:p w14:paraId="148F39BE" w14:textId="77777777" w:rsidR="0076766F" w:rsidRDefault="0076766F" w:rsidP="0076766F">
      <w:r>
        <w:rPr>
          <w:cs/>
        </w:rPr>
        <w:t>อย่างไรก็ดี ผลของการทำร้ายผู้เสียหายผิดพลาดไปกระทบถูกผู้ตาย จนถึงแก่ความตาย</w:t>
      </w:r>
    </w:p>
    <w:p w14:paraId="55A6F757" w14:textId="77777777" w:rsidR="0076766F" w:rsidRDefault="0076766F" w:rsidP="0076766F"/>
    <w:p w14:paraId="016BA77A" w14:textId="77777777" w:rsidR="0076766F" w:rsidRDefault="0076766F" w:rsidP="0076766F">
      <w:r>
        <w:rPr>
          <w:cs/>
        </w:rPr>
        <w:t>ข้อกฎหมายและดุลพินิจของศาล</w:t>
      </w:r>
    </w:p>
    <w:p w14:paraId="1A04AD78" w14:textId="77777777" w:rsidR="0076766F" w:rsidRDefault="0076766F" w:rsidP="0076766F">
      <w:r>
        <w:rPr>
          <w:cs/>
        </w:rPr>
        <w:t xml:space="preserve">ศาลพิเคราะห์ว่าจำเลยที่ </w:t>
      </w:r>
      <w:r>
        <w:t>1</w:t>
      </w:r>
      <w:r>
        <w:rPr>
          <w:cs/>
        </w:rPr>
        <w:t xml:space="preserve"> มีเจตนาเพียงต้องการทำร้ายผู้เสียหายโดยไตร่ตรองไว้ก่อน การที่ผลกระทบไปถึงผู้ตายจนเสียชีวิต แม้จะไม่มีเจตนาฆ่า แต่เป็นเหตุโดยพลาด ซึ่งกฎหมายถือว่าต้องรับผิดในผลแห่งการกระทำนั้น</w:t>
      </w:r>
    </w:p>
    <w:p w14:paraId="407F8646" w14:textId="77777777" w:rsidR="0076766F" w:rsidRDefault="0076766F" w:rsidP="0076766F">
      <w:r>
        <w:rPr>
          <w:cs/>
        </w:rPr>
        <w:t xml:space="preserve">จำเลยที่ </w:t>
      </w:r>
      <w:r>
        <w:t>1</w:t>
      </w:r>
      <w:r>
        <w:rPr>
          <w:cs/>
        </w:rPr>
        <w:t xml:space="preserve"> จึงมีความผิดตาม</w:t>
      </w:r>
    </w:p>
    <w:p w14:paraId="774EFAD0" w14:textId="77777777" w:rsidR="0076766F" w:rsidRDefault="0076766F" w:rsidP="0076766F">
      <w:r>
        <w:t xml:space="preserve"> • </w:t>
      </w:r>
      <w:r>
        <w:rPr>
          <w:cs/>
        </w:rPr>
        <w:t xml:space="preserve">มาตรา </w:t>
      </w:r>
      <w:r>
        <w:t>296</w:t>
      </w:r>
      <w:r>
        <w:rPr>
          <w:cs/>
        </w:rPr>
        <w:t xml:space="preserve"> ประกอบมาตรา </w:t>
      </w:r>
      <w:r>
        <w:t xml:space="preserve">80: </w:t>
      </w:r>
      <w:r>
        <w:rPr>
          <w:cs/>
        </w:rPr>
        <w:t>พยายามทำร้ายร่างกายโดยไตร่ตรองไว้ก่อน</w:t>
      </w:r>
    </w:p>
    <w:p w14:paraId="2BF8FBBE" w14:textId="77777777" w:rsidR="0076766F" w:rsidRDefault="0076766F" w:rsidP="0076766F">
      <w:r>
        <w:t xml:space="preserve"> • </w:t>
      </w:r>
      <w:r>
        <w:rPr>
          <w:cs/>
        </w:rPr>
        <w:t xml:space="preserve">มาตรา </w:t>
      </w:r>
      <w:r>
        <w:t>290</w:t>
      </w:r>
      <w:r>
        <w:rPr>
          <w:cs/>
        </w:rPr>
        <w:t xml:space="preserve"> วรรคสอง ประกอบมาตรา </w:t>
      </w:r>
      <w:r>
        <w:t xml:space="preserve">60: </w:t>
      </w:r>
      <w:r>
        <w:rPr>
          <w:cs/>
        </w:rPr>
        <w:t>ทำร้ายร่างกายโดยไตร่ตรองไว้ก่อน และไม่มีเจตนาฆ่า แต่ถึงแก่ความตายโดยพลาด</w:t>
      </w:r>
    </w:p>
    <w:p w14:paraId="09DE7D5F" w14:textId="77777777" w:rsidR="0076766F" w:rsidRDefault="0076766F" w:rsidP="0076766F">
      <w:r>
        <w:rPr>
          <w:cs/>
        </w:rPr>
        <w:t xml:space="preserve">ทั้งนี้เป็นความผิดหลายบทที่มีโทษหนักกว่า ซึ่งศาลมีอำนาจลงโทษได้ตาม ป.วิ.อ. มาตรา </w:t>
      </w:r>
      <w:r>
        <w:t>192</w:t>
      </w:r>
      <w:r>
        <w:rPr>
          <w:cs/>
        </w:rPr>
        <w:t xml:space="preserve"> วรรคท้าย</w:t>
      </w:r>
    </w:p>
    <w:p w14:paraId="377C54B8" w14:textId="77777777" w:rsidR="0076766F" w:rsidRDefault="0076766F" w:rsidP="0076766F"/>
    <w:p w14:paraId="37CADAF4" w14:textId="77777777" w:rsidR="0076766F" w:rsidRDefault="0076766F" w:rsidP="0076766F">
      <w:r>
        <w:rPr>
          <w:cs/>
        </w:rPr>
        <w:lastRenderedPageBreak/>
        <w:t>สรุปคำพิพากษา</w:t>
      </w:r>
    </w:p>
    <w:p w14:paraId="7C3EA0BF" w14:textId="77777777" w:rsidR="0076766F" w:rsidRDefault="0076766F" w:rsidP="0076766F">
      <w:r>
        <w:rPr>
          <w:cs/>
        </w:rPr>
        <w:t xml:space="preserve">จำเลยที่ </w:t>
      </w:r>
      <w:r>
        <w:t>1</w:t>
      </w:r>
      <w:r>
        <w:rPr>
          <w:cs/>
        </w:rPr>
        <w:t xml:space="preserve"> รู้เห็นและร่วมเดินทางไปกับกลุ่มผู้ก่อเหตุโดยเจตนาเพื่อทำร้ายผู้อื่น ซึ่งถือว่าเป็นการร่วมกระทำโดยไตร่ตรองไว้ก่อน แม้จะไม่มีเจตนาฆ่าแต่ผลที่เกิดขึ้นคือมีผู้เสียชีวิตจากการกระทำนั้น จำเลยที่ </w:t>
      </w:r>
      <w:r>
        <w:t>1</w:t>
      </w:r>
      <w:r>
        <w:rPr>
          <w:cs/>
        </w:rPr>
        <w:t xml:space="preserve"> จึงต้องรับผิดในความผิดฐานพยายามฆ่าโดยไตร่ตรองไว้ก่อน และฆ่าผู้อื่นโดยพลาด ศาลฎีกาจึงพิพากษาลงโทษตามบทที่หนักกว่า</w:t>
      </w:r>
    </w:p>
    <w:p w14:paraId="09A9C4FD" w14:textId="77777777" w:rsidR="0076766F" w:rsidRDefault="0076766F" w:rsidP="0076766F"/>
    <w:p w14:paraId="112D23B2" w14:textId="50F6CC4A" w:rsidR="002B6232" w:rsidRDefault="0076766F" w:rsidP="0076766F">
      <w:r>
        <w:rPr>
          <w:cs/>
        </w:rPr>
        <w:t xml:space="preserve">หากท่านหรือบุคคลที่ท่านรู้จักประสบปัญหาในลักษณะนี้ ติดต่อ ทนายภูวงษ์ </w:t>
      </w:r>
      <w:r>
        <w:t xml:space="preserve">081-803-4097 </w:t>
      </w:r>
      <w:r>
        <w:rPr>
          <w:cs/>
        </w:rPr>
        <w:t>เพื่อขอคำปรึกษากฎหมายและคดีความ ค้นหาโพสต์ทั้งหมดได้ที่ คำถามที่ปรึกษาบ่อยใน</w:t>
      </w:r>
      <w:proofErr w:type="spellStart"/>
      <w:r>
        <w:rPr>
          <w:cs/>
        </w:rPr>
        <w:t>เวป</w:t>
      </w:r>
      <w:proofErr w:type="spellEnd"/>
      <w:r>
        <w:rPr>
          <w:cs/>
        </w:rPr>
        <w:t>ไซ</w:t>
      </w:r>
      <w:proofErr w:type="spellStart"/>
      <w:r>
        <w:rPr>
          <w:cs/>
        </w:rPr>
        <w:t>ต์</w:t>
      </w:r>
      <w:proofErr w:type="spellEnd"/>
      <w:r>
        <w:rPr>
          <w:cs/>
        </w:rPr>
        <w:t xml:space="preserve"> </w:t>
      </w:r>
      <w:r>
        <w:t>www.</w:t>
      </w:r>
      <w:r>
        <w:rPr>
          <w:cs/>
        </w:rPr>
        <w:t>สู้คดี.</w:t>
      </w:r>
      <w:r>
        <w:t xml:space="preserve">com </w:t>
      </w:r>
      <w:r>
        <w:rPr>
          <w:cs/>
        </w:rPr>
        <w:t xml:space="preserve">และ </w:t>
      </w:r>
      <w:r>
        <w:t>www.</w:t>
      </w:r>
      <w:r>
        <w:rPr>
          <w:cs/>
        </w:rPr>
        <w:t>ทนายภูวงษ์.</w:t>
      </w:r>
      <w:r>
        <w:t>com</w:t>
      </w:r>
    </w:p>
    <w:sectPr w:rsidR="002B623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H SarabunPSK">
    <w:charset w:val="DE"/>
    <w:family w:val="swiss"/>
    <w:pitch w:val="variable"/>
    <w:sig w:usb0="01000003" w:usb1="00000000" w:usb2="00000000" w:usb3="00000000" w:csb0="00010111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6766F"/>
    <w:rsid w:val="000554F2"/>
    <w:rsid w:val="002B6232"/>
    <w:rsid w:val="0076766F"/>
    <w:rsid w:val="00A43436"/>
    <w:rsid w:val="00AB2C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04C55D5"/>
  <w15:chartTrackingRefBased/>
  <w15:docId w15:val="{816D2EE0-3943-443C-BBB1-83665665E2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="TH SarabunPSK"/>
        <w:kern w:val="2"/>
        <w:sz w:val="22"/>
        <w:szCs w:val="32"/>
        <w:lang w:val="en-US" w:eastAsia="en-US" w:bidi="th-TH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76766F"/>
    <w:pPr>
      <w:keepNext/>
      <w:keepLines/>
      <w:spacing w:before="320" w:after="4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5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76766F"/>
    <w:pPr>
      <w:keepNext/>
      <w:keepLines/>
      <w:spacing w:before="120" w:after="4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40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76766F"/>
    <w:pPr>
      <w:keepNext/>
      <w:keepLines/>
      <w:spacing w:before="120" w:after="40"/>
      <w:outlineLvl w:val="2"/>
    </w:pPr>
    <w:rPr>
      <w:rFonts w:eastAsiaTheme="majorEastAsia" w:cstheme="majorBidi"/>
      <w:color w:val="0F4761" w:themeColor="accent1" w:themeShade="BF"/>
      <w:sz w:val="28"/>
      <w:szCs w:val="35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76766F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76766F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76766F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76766F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76766F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76766F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76766F"/>
    <w:rPr>
      <w:rFonts w:asciiTheme="majorHAnsi" w:eastAsiaTheme="majorEastAsia" w:hAnsiTheme="majorHAnsi" w:cstheme="majorBidi"/>
      <w:color w:val="0F4761" w:themeColor="accent1" w:themeShade="BF"/>
      <w:sz w:val="40"/>
      <w:szCs w:val="5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76766F"/>
    <w:rPr>
      <w:rFonts w:asciiTheme="majorHAnsi" w:eastAsiaTheme="majorEastAsia" w:hAnsiTheme="majorHAnsi" w:cstheme="majorBidi"/>
      <w:color w:val="0F4761" w:themeColor="accent1" w:themeShade="BF"/>
      <w:sz w:val="32"/>
      <w:szCs w:val="40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76766F"/>
    <w:rPr>
      <w:rFonts w:eastAsiaTheme="majorEastAsia" w:cstheme="majorBidi"/>
      <w:color w:val="0F4761" w:themeColor="accent1" w:themeShade="BF"/>
      <w:sz w:val="28"/>
      <w:szCs w:val="35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76766F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76766F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76766F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76766F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76766F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76766F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76766F"/>
    <w:pPr>
      <w:spacing w:after="4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71"/>
    </w:rPr>
  </w:style>
  <w:style w:type="character" w:customStyle="1" w:styleId="TitleChar">
    <w:name w:val="Title Char"/>
    <w:basedOn w:val="DefaultParagraphFont"/>
    <w:link w:val="Title"/>
    <w:uiPriority w:val="10"/>
    <w:rsid w:val="0076766F"/>
    <w:rPr>
      <w:rFonts w:asciiTheme="majorHAnsi" w:eastAsiaTheme="majorEastAsia" w:hAnsiTheme="majorHAnsi" w:cstheme="majorBidi"/>
      <w:spacing w:val="-10"/>
      <w:kern w:val="28"/>
      <w:sz w:val="56"/>
      <w:szCs w:val="71"/>
    </w:rPr>
  </w:style>
  <w:style w:type="paragraph" w:styleId="Subtitle">
    <w:name w:val="Subtitle"/>
    <w:basedOn w:val="Normal"/>
    <w:next w:val="Normal"/>
    <w:link w:val="SubtitleChar"/>
    <w:uiPriority w:val="11"/>
    <w:qFormat/>
    <w:rsid w:val="0076766F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35"/>
    </w:rPr>
  </w:style>
  <w:style w:type="character" w:customStyle="1" w:styleId="SubtitleChar">
    <w:name w:val="Subtitle Char"/>
    <w:basedOn w:val="DefaultParagraphFont"/>
    <w:link w:val="Subtitle"/>
    <w:uiPriority w:val="11"/>
    <w:rsid w:val="0076766F"/>
    <w:rPr>
      <w:rFonts w:eastAsiaTheme="majorEastAsia" w:cstheme="majorBidi"/>
      <w:color w:val="595959" w:themeColor="text1" w:themeTint="A6"/>
      <w:spacing w:val="15"/>
      <w:sz w:val="28"/>
      <w:szCs w:val="35"/>
    </w:rPr>
  </w:style>
  <w:style w:type="paragraph" w:styleId="Quote">
    <w:name w:val="Quote"/>
    <w:basedOn w:val="Normal"/>
    <w:next w:val="Normal"/>
    <w:link w:val="QuoteChar"/>
    <w:uiPriority w:val="29"/>
    <w:qFormat/>
    <w:rsid w:val="0076766F"/>
    <w:pPr>
      <w:spacing w:before="160"/>
      <w:jc w:val="center"/>
    </w:pPr>
    <w:rPr>
      <w:rFonts w:cs="Angsana New"/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76766F"/>
    <w:rPr>
      <w:rFonts w:cs="Angsana New"/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76766F"/>
    <w:pPr>
      <w:ind w:left="720"/>
      <w:contextualSpacing/>
    </w:pPr>
    <w:rPr>
      <w:rFonts w:cs="Angsana New"/>
    </w:rPr>
  </w:style>
  <w:style w:type="character" w:styleId="IntenseEmphasis">
    <w:name w:val="Intense Emphasis"/>
    <w:basedOn w:val="DefaultParagraphFont"/>
    <w:uiPriority w:val="21"/>
    <w:qFormat/>
    <w:rsid w:val="0076766F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76766F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rFonts w:cs="Angsana New"/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76766F"/>
    <w:rPr>
      <w:rFonts w:cs="Angsana New"/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76766F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261</Words>
  <Characters>1493</Characters>
  <Application>Microsoft Office Word</Application>
  <DocSecurity>0</DocSecurity>
  <Lines>12</Lines>
  <Paragraphs>3</Paragraphs>
  <ScaleCrop>false</ScaleCrop>
  <Company/>
  <LinksUpToDate>false</LinksUpToDate>
  <CharactersWithSpaces>1751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ทนาย ภูวงษ์ โพธิ์ไทร</dc:creator>
  <cp:keywords/>
  <dc:description/>
  <cp:lastModifiedBy>ทนาย ภูวงษ์ โพธิ์ไทร</cp:lastModifiedBy>
  <cp:revision>1</cp:revision>
  <dcterms:created xsi:type="dcterms:W3CDTF">2025-07-19T00:58:00Z</dcterms:created>
  <dcterms:modified xsi:type="dcterms:W3CDTF">2025-07-19T00:59:00Z</dcterms:modified>
</cp:coreProperties>
</file>