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0DD78" w14:textId="77777777" w:rsidR="00AE7169" w:rsidRDefault="00AE7169" w:rsidP="00AE7169">
      <w:r>
        <w:rPr>
          <w:cs/>
        </w:rPr>
        <w:t>ลำดับที่ 394</w:t>
      </w:r>
    </w:p>
    <w:p w14:paraId="647D10B8" w14:textId="77777777" w:rsidR="00AE7169" w:rsidRDefault="00AE7169" w:rsidP="00AE7169">
      <w:r>
        <w:rPr>
          <w:cs/>
        </w:rPr>
        <w:t>หัวข้อเรื่อง การประชุมใหญ่วิสามัญของบริษัทและการเพิกถอนมติที่ประชุม</w:t>
      </w:r>
    </w:p>
    <w:p w14:paraId="2CF751AA" w14:textId="77777777" w:rsidR="00AE7169" w:rsidRDefault="00AE7169" w:rsidP="00AE7169">
      <w:r>
        <w:rPr>
          <w:cs/>
        </w:rPr>
        <w:t>วิเคราะห์ฎีกาที่ 2564/2532</w:t>
      </w:r>
    </w:p>
    <w:p w14:paraId="2704B309" w14:textId="77777777" w:rsidR="00AE7169" w:rsidRDefault="00AE7169" w:rsidP="00AE7169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A5536A9" w14:textId="585FE5D7" w:rsidR="00AE7169" w:rsidRDefault="00AE7169" w:rsidP="00AE7169">
      <w:r>
        <w:rPr>
          <w:cs/>
        </w:rPr>
        <w:br/>
      </w:r>
      <w:r>
        <w:rPr>
          <w:cs/>
        </w:rPr>
        <w:t xml:space="preserve">กฎหมายเกี่ยวกับอะไร </w:t>
      </w:r>
      <w:r>
        <w:rPr>
          <w:cs/>
        </w:rPr>
        <w:br/>
      </w:r>
      <w:r>
        <w:rPr>
          <w:cs/>
        </w:rPr>
        <w:t>ประมวลกฎหมายแพ่งและพาณิชย์ ว่าด้วยบริษัทจำกัด มาตรา 1172 และมาตรา 1195</w:t>
      </w:r>
    </w:p>
    <w:p w14:paraId="321EDBCB" w14:textId="77777777" w:rsidR="00AE7169" w:rsidRDefault="00AE7169" w:rsidP="00AE7169"/>
    <w:p w14:paraId="64E2D1E3" w14:textId="77777777" w:rsidR="00AE7169" w:rsidRDefault="00AE7169" w:rsidP="00AE7169">
      <w:r>
        <w:rPr>
          <w:cs/>
        </w:rPr>
        <w:t>วิเคราะห์คำพิพากษาฎีกาเลขที่ 2564/2532</w:t>
      </w:r>
    </w:p>
    <w:p w14:paraId="6C9AD4D1" w14:textId="77777777" w:rsidR="00AE7169" w:rsidRDefault="00AE7169" w:rsidP="00AE7169">
      <w:r>
        <w:rPr>
          <w:cs/>
        </w:rPr>
        <w:t>ข้อเท็จจริง</w:t>
      </w:r>
    </w:p>
    <w:p w14:paraId="0AE35096" w14:textId="77777777" w:rsidR="00AE7169" w:rsidRDefault="00AE7169" w:rsidP="00AE7169">
      <w:r>
        <w:rPr>
          <w:cs/>
        </w:rPr>
        <w:t>ในคดีนี้มีการจัดประชุมใหญ่วิสามัญของบริษัทขึ้นโดยไม่ปฏิบัติตามขั้นตอนที่กฎหมายกำหนด กล่าวคือ มีกรรมการบางคนเห็นควรเรียกประชุมผู้ถือหุ้นโดยไม่ได้นำเสนอเรื่องเข้าสู่ที่ประชุมคณะกรรมการก่อน เพื่อขอมติเสียงข้างมากในการเรียกประชุมดังกล่าว</w:t>
      </w:r>
    </w:p>
    <w:p w14:paraId="4D974B4E" w14:textId="77777777" w:rsidR="00AE7169" w:rsidRDefault="00AE7169" w:rsidP="00AE7169"/>
    <w:p w14:paraId="4030CDBF" w14:textId="77777777" w:rsidR="00AE7169" w:rsidRDefault="00AE7169" w:rsidP="00AE7169">
      <w:r>
        <w:rPr>
          <w:cs/>
        </w:rPr>
        <w:t>ข้อกฎหมาย</w:t>
      </w:r>
    </w:p>
    <w:p w14:paraId="2B51ED22" w14:textId="77777777" w:rsidR="00AE7169" w:rsidRDefault="00AE7169" w:rsidP="00AE7169">
      <w:r>
        <w:rPr>
          <w:cs/>
        </w:rPr>
        <w:t>คำว่า “กรรมการ” ตามมาตรา 1172 แห่งประมวลกฎหมายแพ่งและพาณิชย์ วรรคแรกนั้น ศาลตีความว่า หมายถึง “คณะกรรมการ” มิใช่หมายถึงกรรมการคนหนึ่งคนใด หากกรรมการคนใดต้องการให้มีการประชุมวิสามัญผู้ถือหุ้น จะต้องเสนอเรื่องเข้าสู่ที่ประชุมคณะกรรมการก่อน และการตัดสินใจต้องกระทำโดยเสียงข้างมากตามหลักของคณะกรรมการบริษัท</w:t>
      </w:r>
    </w:p>
    <w:p w14:paraId="0102F58A" w14:textId="77777777" w:rsidR="00AE7169" w:rsidRDefault="00AE7169" w:rsidP="00AE7169"/>
    <w:p w14:paraId="69926DD8" w14:textId="77777777" w:rsidR="00AE7169" w:rsidRDefault="00AE7169" w:rsidP="00AE7169">
      <w:r>
        <w:rPr>
          <w:cs/>
        </w:rPr>
        <w:t>ดุลพินิจของศาล</w:t>
      </w:r>
    </w:p>
    <w:p w14:paraId="318CF8F2" w14:textId="77777777" w:rsidR="00AE7169" w:rsidRDefault="00AE7169" w:rsidP="00AE7169">
      <w:r>
        <w:rPr>
          <w:cs/>
        </w:rPr>
        <w:t>ศาลเห็นว่า แม้การเรียกประชุมใหญ่วิสามัญจะไม่ถูกต้องตามขั้นตอนที่กำหนดไว้ในกฎหมายบริษัท แต่เมื่อการประชุมและการลงมตินั้นได้เกิดขึ้นจริงแล้ว ก็ยังถือว่าเป็นการประชุมใหญ่และการลงมติตามกฎหมายอยู่ดี อย่างไรก็ตาม หากผู้ใดประสงค์จะโต้แย้งหรือเพิกถอนมติจากที่ประชุมใหญ่นั้น ก็ต้องดำเนินการภายในเวลาที่กฎหมายกำหนด ซึ่งก็คือ 1 เดือนนับแต่วันลงมติ ตามมาตรา 1195</w:t>
      </w:r>
    </w:p>
    <w:p w14:paraId="08373C6D" w14:textId="77777777" w:rsidR="00AE7169" w:rsidRDefault="00AE7169" w:rsidP="00AE7169"/>
    <w:p w14:paraId="4A15D346" w14:textId="77777777" w:rsidR="00AE7169" w:rsidRDefault="00AE7169" w:rsidP="00AE7169">
      <w:r>
        <w:rPr>
          <w:cs/>
        </w:rPr>
        <w:lastRenderedPageBreak/>
        <w:t>สรุปคำพิพากษา</w:t>
      </w:r>
    </w:p>
    <w:p w14:paraId="42570EAE" w14:textId="77777777" w:rsidR="00AE7169" w:rsidRDefault="00AE7169" w:rsidP="00AE7169">
      <w:r>
        <w:rPr>
          <w:cs/>
        </w:rPr>
        <w:t>แม้การเรียกประชุมผู้ถือหุ้นจะไม่เป็นไปตามขั้นตอนที่กฎหมายกำหนด แต่เมื่อการประชุมและการลงมติได้เกิดขึ้นจริงแล้ว ก็ยังถือเป็นการประชุมใหญ่ตามกฎหมาย ผู้คัดค้านจึงต้องยื่นคำร้องขอเพิกถอนมติภายใน 1 เดือนนับแต่วันลงมติ หากพ้นกำหนดเวลาดังกล่าวจะไม่สามารถเพิกถอนมติได้</w:t>
      </w:r>
    </w:p>
    <w:p w14:paraId="20DAF26B" w14:textId="77777777" w:rsidR="00AE7169" w:rsidRDefault="00AE7169" w:rsidP="00AE7169"/>
    <w:p w14:paraId="4BE6FBB7" w14:textId="0A92B81C" w:rsidR="002B6232" w:rsidRDefault="00AE7169" w:rsidP="00AE7169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69"/>
    <w:rsid w:val="000554F2"/>
    <w:rsid w:val="002B6232"/>
    <w:rsid w:val="009F07D3"/>
    <w:rsid w:val="00A43436"/>
    <w:rsid w:val="00A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C5A4C"/>
  <w15:chartTrackingRefBased/>
  <w15:docId w15:val="{7B627A0C-7383-4D27-AAD5-65619C4BE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16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16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16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1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1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1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1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1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1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16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16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16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1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1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1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1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1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1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16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E716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1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E716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E716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16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16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E71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1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16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1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2025-07-19T01:04:00Z</dcterms:created>
  <dcterms:modified xsi:type="dcterms:W3CDTF">2025-07-19T01:05:00Z</dcterms:modified>
</cp:coreProperties>
</file>