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9CE9A" w14:textId="77777777" w:rsidR="000D5037" w:rsidRDefault="000D5037" w:rsidP="000D5037">
      <w:r>
        <w:rPr>
          <w:cs/>
        </w:rPr>
        <w:t>ลำดับที่ 398</w:t>
      </w:r>
    </w:p>
    <w:p w14:paraId="6CA7C761" w14:textId="77777777" w:rsidR="000D5037" w:rsidRDefault="000D5037" w:rsidP="000D5037">
      <w:r>
        <w:rPr>
          <w:cs/>
        </w:rPr>
        <w:t>เรื่อง อำนาจฟ้องเพิกถอนการโอนที่ดินมรดกโดยผู้จัดการมรดก</w:t>
      </w:r>
    </w:p>
    <w:p w14:paraId="7B98C17B" w14:textId="77777777" w:rsidR="000D5037" w:rsidRDefault="000D5037" w:rsidP="000D5037">
      <w:r>
        <w:rPr>
          <w:cs/>
        </w:rPr>
        <w:t>วิเคราะห์ฎีกาที่ 3097/2543</w:t>
      </w:r>
    </w:p>
    <w:p w14:paraId="2E438598" w14:textId="77777777" w:rsidR="000D5037" w:rsidRDefault="000D5037" w:rsidP="000D503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F68E013" w14:textId="77777777" w:rsidR="000D5037" w:rsidRDefault="000D5037" w:rsidP="000D5037"/>
    <w:p w14:paraId="25691A29" w14:textId="77777777" w:rsidR="000D5037" w:rsidRDefault="000D5037" w:rsidP="000D5037">
      <w:r>
        <w:rPr>
          <w:cs/>
        </w:rPr>
        <w:t>กฎหมายเกี่ยวกับอะไร</w:t>
      </w:r>
    </w:p>
    <w:p w14:paraId="4C1D680B" w14:textId="77777777" w:rsidR="000D5037" w:rsidRDefault="000D5037" w:rsidP="000D5037">
      <w:r>
        <w:rPr>
          <w:cs/>
        </w:rPr>
        <w:t>เกี่ยวกับกฎหมายแพ่งและพาณิชย์ว่าด้วยมรดก (มาตรา 1300</w:t>
      </w:r>
      <w:r>
        <w:t xml:space="preserve">, </w:t>
      </w:r>
      <w:r>
        <w:rPr>
          <w:cs/>
        </w:rPr>
        <w:t>1745</w:t>
      </w:r>
      <w:r>
        <w:t xml:space="preserve">, </w:t>
      </w:r>
      <w:r>
        <w:rPr>
          <w:cs/>
        </w:rPr>
        <w:t>1359) และกฎหมายว่าด้วยวิธีพิจารณาความแพ่ง (มาตรา 87</w:t>
      </w:r>
      <w:r>
        <w:t xml:space="preserve">, </w:t>
      </w:r>
      <w:r>
        <w:rPr>
          <w:cs/>
        </w:rPr>
        <w:t>88</w:t>
      </w:r>
      <w:r>
        <w:t xml:space="preserve">, </w:t>
      </w:r>
      <w:r>
        <w:rPr>
          <w:cs/>
        </w:rPr>
        <w:t>249) กับวิธีพิจารณาความอาญา มาตรา 46</w:t>
      </w:r>
    </w:p>
    <w:p w14:paraId="1F2D3CF9" w14:textId="77777777" w:rsidR="000D5037" w:rsidRDefault="000D5037" w:rsidP="000D5037"/>
    <w:p w14:paraId="2588E12B" w14:textId="77777777" w:rsidR="000D5037" w:rsidRDefault="000D5037" w:rsidP="000D5037">
      <w:r>
        <w:rPr>
          <w:cs/>
        </w:rPr>
        <w:t>วิเคราะห์คำพิพากษาฎีกาเลขที่ 3097/2543</w:t>
      </w:r>
    </w:p>
    <w:p w14:paraId="0F32F7C1" w14:textId="77777777" w:rsidR="000D5037" w:rsidRDefault="000D5037" w:rsidP="000D5037">
      <w:r>
        <w:rPr>
          <w:cs/>
        </w:rPr>
        <w:t>ข้อเท็จจริง</w:t>
      </w:r>
    </w:p>
    <w:p w14:paraId="31576561" w14:textId="77777777" w:rsidR="000D5037" w:rsidRDefault="000D5037" w:rsidP="000D5037">
      <w:r>
        <w:rPr>
          <w:cs/>
        </w:rPr>
        <w:t>ที่ดินพิพาทเป็นทรัพย์มรดกของนายคล้อย ซึ่งนายจำรัสมีสิทธิได้รับตามพินัยกรรม แต่จำเลยที่ 1 ในฐานะผู้จัดการมรดกของนายคล้อย กลับจดทะเบียนโอนที่ดินมาเป็นของตน แล้วโอนต่อให้จำเลยที่ 2 และนำไปจำนองต่อธนาคาร เป็นเหตุให้กองมรดกของนายจำรัสเสียหาย โจทก์จึงฟ้องเพิกถอนการโอนที่ดินดังกล่าวในฐานะผู้จัดการมรดกของนายจำรัส</w:t>
      </w:r>
    </w:p>
    <w:p w14:paraId="00D911E9" w14:textId="77777777" w:rsidR="000D5037" w:rsidRDefault="000D5037" w:rsidP="000D5037"/>
    <w:p w14:paraId="2290B8B1" w14:textId="77777777" w:rsidR="000D5037" w:rsidRDefault="000D5037" w:rsidP="000D5037">
      <w:r>
        <w:rPr>
          <w:cs/>
        </w:rPr>
        <w:t>ข้อกฎหมายและดุลพินิจของศาล</w:t>
      </w:r>
    </w:p>
    <w:p w14:paraId="250A15C0" w14:textId="77777777" w:rsidR="000D5037" w:rsidRDefault="000D5037" w:rsidP="000D5037">
      <w:r>
        <w:rPr>
          <w:cs/>
        </w:rPr>
        <w:t xml:space="preserve"> 1. เรื่องบัญชีพยานเพิ่มเติม</w:t>
      </w:r>
    </w:p>
    <w:p w14:paraId="0EF1359E" w14:textId="77777777" w:rsidR="000D5037" w:rsidRDefault="000D5037" w:rsidP="000D5037">
      <w:r>
        <w:rPr>
          <w:cs/>
        </w:rPr>
        <w:t>แม้บัญชีพยานที่ยื่นเพิ่มเติมจะไม่ชอบด้วย ม.88 วรรคสาม แต่ศาลชั้นต้นได้สั่งรับไว้โดยอาศัยอำนาจตาม ม.87(2) ด้วยเหตุเพื่อประโยชน์แห่งความยุติธรรม และไม่ปรากฏว่าเป็นเหตุให้จำเลยเสียเปรียบ เพราะจำเลยเคยอ้างพยานเอกสารชุดเดียวกัน ศาลฎีกาจึงเห็นว่าคำสั่งศาลชั้นต้นชอบ</w:t>
      </w:r>
    </w:p>
    <w:p w14:paraId="56A29579" w14:textId="77777777" w:rsidR="000D5037" w:rsidRDefault="000D5037" w:rsidP="000D5037">
      <w:r>
        <w:rPr>
          <w:cs/>
        </w:rPr>
        <w:t xml:space="preserve"> 2. การใช้ข้อเท็จจริงในคดีอาญา</w:t>
      </w:r>
    </w:p>
    <w:p w14:paraId="364D2574" w14:textId="77777777" w:rsidR="000D5037" w:rsidRDefault="000D5037" w:rsidP="000D5037">
      <w:r>
        <w:rPr>
          <w:cs/>
        </w:rPr>
        <w:t>คดีอาญาเกี่ยวกับการยักยอกมรดกได้มีคำพิพากษาถึงที่สุดแล้ว โดยศาลฎีกาให้ถือข้อเท็จจริงตามคดีอาญาดังกล่าวมาผูกพันคดีแพ่งนี้ตาม ม.46 ป.วิ.อาญา</w:t>
      </w:r>
    </w:p>
    <w:p w14:paraId="48A290E2" w14:textId="77777777" w:rsidR="000D5037" w:rsidRDefault="000D5037" w:rsidP="000D5037">
      <w:r>
        <w:rPr>
          <w:cs/>
        </w:rPr>
        <w:t xml:space="preserve"> 3. การกระทำของจำเลยทั้งสอง</w:t>
      </w:r>
    </w:p>
    <w:p w14:paraId="1F9CFB5B" w14:textId="77777777" w:rsidR="000D5037" w:rsidRDefault="000D5037" w:rsidP="000D5037">
      <w:r>
        <w:rPr>
          <w:cs/>
        </w:rPr>
        <w:lastRenderedPageBreak/>
        <w:t>จำเลยที่ 1 เป็นผู้กระทำผิดฐานยักยอกมรดกโดยทุจริต แม้จำเลยที่ 2 จะไม่รู้เห็น แต่รับโอนที่ดินจากจำเลยที่ 1 ซึ่งไม่มีอำนาจโอน จำเลยที่ 2 จึงไม่มีสิทธิยึดถือที่ดินไว้</w:t>
      </w:r>
    </w:p>
    <w:p w14:paraId="64638FF3" w14:textId="77777777" w:rsidR="000D5037" w:rsidRDefault="000D5037" w:rsidP="000D5037">
      <w:r>
        <w:rPr>
          <w:cs/>
        </w:rPr>
        <w:t xml:space="preserve"> 4. เรื่องอายุความ</w:t>
      </w:r>
    </w:p>
    <w:p w14:paraId="5A963877" w14:textId="77777777" w:rsidR="000D5037" w:rsidRDefault="000D5037" w:rsidP="000D5037">
      <w:r>
        <w:rPr>
          <w:cs/>
        </w:rPr>
        <w:t>การฟ้องนี้เป็นเรื่องการเพิกถอนการโอนทางทะเบียนที่ทำให้เสียเปรียบแก่กองมรดก ไม่ใช่การฟ้องเพิกถอนการฉ้อฉล จึงไม่อยู่ภายใต้มาตรา 1754 และไม่ขาดอายุความ</w:t>
      </w:r>
    </w:p>
    <w:p w14:paraId="5001093E" w14:textId="77777777" w:rsidR="000D5037" w:rsidRDefault="000D5037" w:rsidP="000D5037">
      <w:r>
        <w:rPr>
          <w:cs/>
        </w:rPr>
        <w:t xml:space="preserve"> 5. อำนาจฟ้องของโจทก์</w:t>
      </w:r>
    </w:p>
    <w:p w14:paraId="52CC6B76" w14:textId="77777777" w:rsidR="000D5037" w:rsidRDefault="000D5037" w:rsidP="000D5037">
      <w:r>
        <w:rPr>
          <w:cs/>
        </w:rPr>
        <w:t>แม้ที่ดินพิพาทส่วนหนึ่งจะเป็นของนายละมัย แต่เนื่องจากนายจำรัสและนายละมัยเป็นเจ้าของรวม และนายจำรัสถึงแก่ความตายโดยไม่มีพินัยกรรม โจทก์ในฐานะผู้จัดการมรดกจึงมีสิทธิเหนือทรัพย์สินดังกล่าวตาม ม.1745 และ 1359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สามารถใช้สิทธิป้องกันแทนกันได้ จึงมีอำนาจฟ้องขอเพิกถอนการโอนที่ดินได้</w:t>
      </w:r>
    </w:p>
    <w:p w14:paraId="074362D7" w14:textId="77777777" w:rsidR="000D5037" w:rsidRDefault="000D5037" w:rsidP="000D5037"/>
    <w:p w14:paraId="3F3384D5" w14:textId="77777777" w:rsidR="000D5037" w:rsidRDefault="000D5037" w:rsidP="000D5037">
      <w:r>
        <w:rPr>
          <w:cs/>
        </w:rPr>
        <w:t>สรุปคำพิพากษา</w:t>
      </w:r>
    </w:p>
    <w:p w14:paraId="367BB818" w14:textId="77777777" w:rsidR="000D5037" w:rsidRDefault="000D5037" w:rsidP="000D5037">
      <w:r>
        <w:rPr>
          <w:cs/>
        </w:rPr>
        <w:t>ศาลฎีกาวินิจฉัยว่า</w:t>
      </w:r>
    </w:p>
    <w:p w14:paraId="43524CF5" w14:textId="77777777" w:rsidR="000D5037" w:rsidRDefault="000D5037" w:rsidP="000D5037">
      <w:r>
        <w:rPr>
          <w:cs/>
        </w:rPr>
        <w:t xml:space="preserve"> • การรับพยานหลักฐานเพิ่มเติมของโจทก์โดยศาลชั้นต้นแม้ขัด ม.88 วรรคสาม แต่ก็ชอบด้วย ม.87(2)</w:t>
      </w:r>
    </w:p>
    <w:p w14:paraId="475F1D7C" w14:textId="77777777" w:rsidR="000D5037" w:rsidRDefault="000D5037" w:rsidP="000D5037">
      <w:r>
        <w:rPr>
          <w:cs/>
        </w:rPr>
        <w:t xml:space="preserve"> • ศาลสามารถรับฟังข้อเท็จจริงในคำพิพากษาคดีอาญาซึ่งถึงที่สุดแล้วได้</w:t>
      </w:r>
    </w:p>
    <w:p w14:paraId="26FAE6A7" w14:textId="77777777" w:rsidR="000D5037" w:rsidRDefault="000D5037" w:rsidP="000D5037">
      <w:r>
        <w:rPr>
          <w:cs/>
        </w:rPr>
        <w:t xml:space="preserve"> • จำเลยที่ 1 กระทำผิดฐานยักยอก จำเลยที่ 2 รับโอนทรัพย์ที่ไม่มีสิทธิ</w:t>
      </w:r>
    </w:p>
    <w:p w14:paraId="026F6EE3" w14:textId="77777777" w:rsidR="000D5037" w:rsidRDefault="000D5037" w:rsidP="000D5037">
      <w:r>
        <w:rPr>
          <w:cs/>
        </w:rPr>
        <w:t xml:space="preserve"> • การฟ้องไม่ขาดอายุความ และโจทก์มีอำนาจฟ้องเพิกถอนแม้ในส่วนของเจ้าของร่วม</w:t>
      </w:r>
    </w:p>
    <w:p w14:paraId="07FDA241" w14:textId="77777777" w:rsidR="000D5037" w:rsidRDefault="000D5037" w:rsidP="000D5037"/>
    <w:p w14:paraId="1627ECD9" w14:textId="28465C67" w:rsidR="002B6232" w:rsidRPr="000D5037" w:rsidRDefault="000D5037" w:rsidP="000D503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0D50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37"/>
    <w:rsid w:val="000554F2"/>
    <w:rsid w:val="000D5037"/>
    <w:rsid w:val="002B6232"/>
    <w:rsid w:val="00480E1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E682F"/>
  <w15:chartTrackingRefBased/>
  <w15:docId w15:val="{144FEEB8-F818-41A8-AABB-3FCB11F5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03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03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03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0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0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0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0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0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0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03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03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03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0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0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0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0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0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0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03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D503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0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D503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D503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03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03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D50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0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03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0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2025-07-19T01:12:00Z</dcterms:created>
  <dcterms:modified xsi:type="dcterms:W3CDTF">2025-07-19T01:13:00Z</dcterms:modified>
</cp:coreProperties>
</file>