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9B3AD" w14:textId="7833F664" w:rsidR="00CA6B4E" w:rsidRPr="00CA6B4E" w:rsidRDefault="00CA6B4E" w:rsidP="00CA6B4E">
      <w:r w:rsidRPr="00CA6B4E">
        <w:rPr>
          <w:cs/>
        </w:rPr>
        <w:t xml:space="preserve">ลำดับที่ </w:t>
      </w:r>
      <w:r w:rsidRPr="00CA6B4E">
        <w:t>000405</w:t>
      </w:r>
      <w:r w:rsidRPr="00CA6B4E">
        <w:br/>
      </w:r>
      <w:r w:rsidRPr="00CA6B4E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CA6B4E">
        <w:rPr>
          <w:b/>
          <w:bCs/>
          <w:cs/>
        </w:rPr>
        <w:t>การผูกพันของคำพิพากษาตามยอมและสัญญาประนีประนอมยอมความต่อบุคคลภายนอก</w:t>
      </w:r>
    </w:p>
    <w:p w14:paraId="54BE939E" w14:textId="77777777" w:rsidR="00CA6B4E" w:rsidRPr="00CA6B4E" w:rsidRDefault="00CA6B4E" w:rsidP="00CA6B4E">
      <w:r w:rsidRPr="00CA6B4E">
        <w:rPr>
          <w:cs/>
        </w:rPr>
        <w:t>วิเคราะห์ฎีกาที่</w:t>
      </w:r>
      <w:r w:rsidRPr="00CA6B4E">
        <w:br/>
      </w:r>
      <w:r w:rsidRPr="00CA6B4E">
        <w:rPr>
          <w:b/>
          <w:bCs/>
          <w:cs/>
        </w:rPr>
        <w:t xml:space="preserve">ฎีกาที่ </w:t>
      </w:r>
      <w:r w:rsidRPr="00CA6B4E">
        <w:rPr>
          <w:b/>
          <w:bCs/>
        </w:rPr>
        <w:t>1180/2559</w:t>
      </w:r>
    </w:p>
    <w:p w14:paraId="2E31EED7" w14:textId="77777777" w:rsidR="00CA6B4E" w:rsidRPr="00CA6B4E" w:rsidRDefault="00CA6B4E" w:rsidP="00CA6B4E">
      <w:r w:rsidRPr="00CA6B4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A6B4E">
        <w:t>0818034097</w:t>
      </w:r>
    </w:p>
    <w:p w14:paraId="4CA46ACC" w14:textId="77777777" w:rsidR="00CA6B4E" w:rsidRPr="00CA6B4E" w:rsidRDefault="00CA6B4E" w:rsidP="00CA6B4E">
      <w:r w:rsidRPr="00CA6B4E">
        <w:rPr>
          <w:cs/>
        </w:rPr>
        <w:t>กฎหมายเกี่ยวกับอะไร</w:t>
      </w:r>
      <w:r w:rsidRPr="00CA6B4E">
        <w:br/>
      </w:r>
      <w:r w:rsidRPr="00CA6B4E">
        <w:rPr>
          <w:b/>
          <w:bCs/>
          <w:cs/>
        </w:rPr>
        <w:t xml:space="preserve">ประมวลกฎหมายวิธีพิจารณาความแพ่ง มาตรา </w:t>
      </w:r>
      <w:r w:rsidRPr="00CA6B4E">
        <w:rPr>
          <w:b/>
          <w:bCs/>
        </w:rPr>
        <w:t xml:space="preserve">142 </w:t>
      </w:r>
      <w:r w:rsidRPr="00CA6B4E">
        <w:rPr>
          <w:b/>
          <w:bCs/>
          <w:cs/>
        </w:rPr>
        <w:t xml:space="preserve">และ </w:t>
      </w:r>
      <w:r w:rsidRPr="00CA6B4E">
        <w:rPr>
          <w:b/>
          <w:bCs/>
        </w:rPr>
        <w:t>145</w:t>
      </w:r>
      <w:r w:rsidRPr="00CA6B4E">
        <w:t xml:space="preserve"> </w:t>
      </w:r>
      <w:r w:rsidRPr="00CA6B4E">
        <w:rPr>
          <w:cs/>
        </w:rPr>
        <w:t>ว่าด้วยขอบเขตของคำพิพากษาและผลผูกพันของคำพิพากษาตามยอม รวมถึงหลักเกณฑ์เกี่ยวกับสัญญาประนีประนอมยอมความ</w:t>
      </w:r>
    </w:p>
    <w:p w14:paraId="5AA1F2E4" w14:textId="77777777" w:rsidR="00CA6B4E" w:rsidRPr="00CA6B4E" w:rsidRDefault="00CA6B4E" w:rsidP="00CA6B4E">
      <w:r w:rsidRPr="00CA6B4E">
        <w:rPr>
          <w:cs/>
        </w:rPr>
        <w:t xml:space="preserve">วิเคราะห์คำพิพากษาฎีกาเลขที่ </w:t>
      </w:r>
      <w:r w:rsidRPr="00CA6B4E">
        <w:t>1180/2559</w:t>
      </w:r>
      <w:r w:rsidRPr="00CA6B4E">
        <w:br/>
      </w:r>
      <w:r w:rsidRPr="00CA6B4E">
        <w:rPr>
          <w:b/>
          <w:bCs/>
          <w:cs/>
        </w:rPr>
        <w:t>ข้อเท็จจริง</w:t>
      </w:r>
      <w:r w:rsidRPr="00CA6B4E">
        <w:br/>
      </w:r>
      <w:r w:rsidRPr="00CA6B4E">
        <w:rPr>
          <w:cs/>
        </w:rPr>
        <w:t>โจทก์และจำเลยได้เข้าสู่การไกล่เกลี่ยข้อพิพาทต่อหน้าศาล โดยมีบุคคลภายนอกอีกสองคนคือ ก. และ น. เข้าร่วมในสัญญาประนีประนอมยอมความด้วย ต่อมาศาลมีคำพิพากษาตามยอมตามสัญญาประนีประนอมยอมความดังกล่าว</w:t>
      </w:r>
    </w:p>
    <w:p w14:paraId="11F00C6B" w14:textId="77777777" w:rsidR="00CA6B4E" w:rsidRPr="00CA6B4E" w:rsidRDefault="00CA6B4E" w:rsidP="00CA6B4E">
      <w:r w:rsidRPr="00CA6B4E">
        <w:rPr>
          <w:cs/>
        </w:rPr>
        <w:t>ต่อมา ก. ได้ฝ่าฝืนสัญญาประนีประนอมยอมความ ทำให้เกิดข้อพิพาทว่าฝ่ายหนึ่งสามารถบังคับคดีตามสัญญานั้นกับ ก. ได้หรือไม่</w:t>
      </w:r>
    </w:p>
    <w:p w14:paraId="41191473" w14:textId="77777777" w:rsidR="00CA6B4E" w:rsidRPr="00CA6B4E" w:rsidRDefault="00CA6B4E" w:rsidP="00CA6B4E">
      <w:r w:rsidRPr="00CA6B4E">
        <w:rPr>
          <w:b/>
          <w:bCs/>
          <w:cs/>
        </w:rPr>
        <w:t>ข้อกฎหมายและดุลพินิจของศาล</w:t>
      </w:r>
      <w:r w:rsidRPr="00CA6B4E">
        <w:br/>
      </w:r>
      <w:r w:rsidRPr="00CA6B4E">
        <w:rPr>
          <w:cs/>
        </w:rPr>
        <w:t>ศาลวินิจฉัยว่า</w:t>
      </w:r>
    </w:p>
    <w:p w14:paraId="7A3266BA" w14:textId="77777777" w:rsidR="00CA6B4E" w:rsidRPr="00CA6B4E" w:rsidRDefault="00CA6B4E" w:rsidP="00CA6B4E">
      <w:pPr>
        <w:numPr>
          <w:ilvl w:val="0"/>
          <w:numId w:val="1"/>
        </w:numPr>
      </w:pPr>
      <w:r w:rsidRPr="00CA6B4E">
        <w:rPr>
          <w:cs/>
        </w:rPr>
        <w:t>การทำสัญญาประนีประนอมยอมความนั้นมีผลผูกพันเฉพาะคู่สัญญาในสัญญาดังกล่าว</w:t>
      </w:r>
    </w:p>
    <w:p w14:paraId="7A9BDD6F" w14:textId="77777777" w:rsidR="00CA6B4E" w:rsidRPr="00CA6B4E" w:rsidRDefault="00CA6B4E" w:rsidP="00CA6B4E">
      <w:pPr>
        <w:numPr>
          <w:ilvl w:val="0"/>
          <w:numId w:val="1"/>
        </w:numPr>
      </w:pPr>
      <w:r w:rsidRPr="00CA6B4E">
        <w:rPr>
          <w:cs/>
        </w:rPr>
        <w:t xml:space="preserve">คำพิพากษาตามยอมที่ศาลมีขึ้นภายหลังการตกลงดังกล่าว ถือว่าเป็นการวินิจฉัยที่ผูกพันเฉพาะ “คู่ความในคดี” เท่านั้น ตาม ป.วิ.พ. มาตรา </w:t>
      </w:r>
      <w:r w:rsidRPr="00CA6B4E">
        <w:t xml:space="preserve">145 </w:t>
      </w:r>
      <w:r w:rsidRPr="00CA6B4E">
        <w:rPr>
          <w:cs/>
        </w:rPr>
        <w:t>วรรคหนึ่ง</w:t>
      </w:r>
    </w:p>
    <w:p w14:paraId="488AF2DF" w14:textId="77777777" w:rsidR="00CA6B4E" w:rsidRPr="00CA6B4E" w:rsidRDefault="00CA6B4E" w:rsidP="00CA6B4E">
      <w:pPr>
        <w:numPr>
          <w:ilvl w:val="0"/>
          <w:numId w:val="1"/>
        </w:numPr>
      </w:pPr>
      <w:r w:rsidRPr="00CA6B4E">
        <w:rPr>
          <w:cs/>
        </w:rPr>
        <w:t>ก. และ น. ซึ่งมิใช่คู่ความในคดี แม้จะเข้าร่วมในสัญญาประนีประนอมยอมความ ก็ไม่อาจถูกบังคับคดีจากคำพิพากษาตามยอมนี้ได้</w:t>
      </w:r>
    </w:p>
    <w:p w14:paraId="15941F1E" w14:textId="77777777" w:rsidR="00CA6B4E" w:rsidRPr="00CA6B4E" w:rsidRDefault="00CA6B4E" w:rsidP="00CA6B4E">
      <w:pPr>
        <w:numPr>
          <w:ilvl w:val="0"/>
          <w:numId w:val="1"/>
        </w:numPr>
      </w:pPr>
      <w:r w:rsidRPr="00CA6B4E">
        <w:rPr>
          <w:cs/>
        </w:rPr>
        <w:t>แม้ในสัญญาจะมีเงื่อนไขว่า หากฝ่ายใดผิดสัญญาให้ถือว่าคำพิพากษาตามยอมเป็นการแสดงเจตนาสิ้นสุด ให้บังคับคดีได้ทันที แต่ข้อตกลงนั้นไม่มีผลให้โจทก์สามารถบังคับคดีเอากับ ก. ได้ เพราะ ก. ไม่ใช่คู่ความในคดี และสัญญาก็ไม่ได้กำหนดให้ ก. รับผิดร่วมกับโจทก์</w:t>
      </w:r>
    </w:p>
    <w:p w14:paraId="6E7A8E06" w14:textId="77777777" w:rsidR="00CA6B4E" w:rsidRPr="00CA6B4E" w:rsidRDefault="00CA6B4E" w:rsidP="00CA6B4E">
      <w:r w:rsidRPr="00CA6B4E">
        <w:rPr>
          <w:b/>
          <w:bCs/>
          <w:cs/>
        </w:rPr>
        <w:lastRenderedPageBreak/>
        <w:t>เหตุผลที่ศาลวินิจฉัย</w:t>
      </w:r>
      <w:r w:rsidRPr="00CA6B4E">
        <w:br/>
      </w:r>
      <w:r w:rsidRPr="00CA6B4E">
        <w:rPr>
          <w:cs/>
        </w:rPr>
        <w:t xml:space="preserve">การบังคับคดีต้องยึดตามหลักว่า "คำพิพากษาผูกพันเฉพาะคู่ความในคดี" เว้นแต่จะเข้าลักษณะพิเศษตามมาตรา </w:t>
      </w:r>
      <w:r w:rsidRPr="00CA6B4E">
        <w:t xml:space="preserve">142 (1), 245 </w:t>
      </w:r>
      <w:r w:rsidRPr="00CA6B4E">
        <w:rPr>
          <w:cs/>
        </w:rPr>
        <w:t xml:space="preserve">และ </w:t>
      </w:r>
      <w:r w:rsidRPr="00CA6B4E">
        <w:t xml:space="preserve">274 </w:t>
      </w:r>
      <w:r w:rsidRPr="00CA6B4E">
        <w:rPr>
          <w:cs/>
        </w:rPr>
        <w:t xml:space="preserve">หรือข้อยกเว้นตามมาตรา </w:t>
      </w:r>
      <w:r w:rsidRPr="00CA6B4E">
        <w:t xml:space="preserve">145 </w:t>
      </w:r>
      <w:r w:rsidRPr="00CA6B4E">
        <w:rPr>
          <w:cs/>
        </w:rPr>
        <w:t>วรรคสอง ซึ่งกรณีนี้ไม่เข้าลักษณะดังกล่าว จึงต้องให้โจทก์ไปฟ้องคดีใหม่กับ ก. แยกต่างหาก ไม่อาจใช้คำพิพากษาตามยอมคดีนี้บังคับกับ ก. ได้</w:t>
      </w:r>
    </w:p>
    <w:p w14:paraId="6EA76AFF" w14:textId="77777777" w:rsidR="00CA6B4E" w:rsidRPr="00CA6B4E" w:rsidRDefault="00CA6B4E" w:rsidP="00CA6B4E">
      <w:r w:rsidRPr="00CA6B4E">
        <w:rPr>
          <w:cs/>
        </w:rPr>
        <w:t>สรุปคำพิพากษา</w:t>
      </w:r>
      <w:r w:rsidRPr="00CA6B4E">
        <w:br/>
      </w:r>
      <w:r w:rsidRPr="00CA6B4E">
        <w:rPr>
          <w:cs/>
        </w:rPr>
        <w:t>คำพิพากษาตามยอมผูกพันเฉพาะคู่ความในคดีเท่านั้น แม้จะมีบุคคลภายนอกลงนามในสัญญาประนีประนอมยอมความร่วมกัน ก็ไม่อาจนำคำพิพากษาตามยอมไปใช้บังคับกับบุคคลภายนอกนั้นได้ หากจะดำเนินการต้องใช้สิทธิทางศาลด้วยการฟ้องคดีแยกต่างหาก</w:t>
      </w:r>
    </w:p>
    <w:p w14:paraId="27C0AB5B" w14:textId="77777777" w:rsidR="00CA6B4E" w:rsidRPr="00CA6B4E" w:rsidRDefault="00CA6B4E" w:rsidP="00CA6B4E">
      <w:r w:rsidRPr="00CA6B4E">
        <w:pict w14:anchorId="23836A17">
          <v:rect id="_x0000_i1031" style="width:0;height:1.5pt" o:hralign="center" o:hrstd="t" o:hr="t" fillcolor="#a0a0a0" stroked="f"/>
        </w:pict>
      </w:r>
    </w:p>
    <w:p w14:paraId="6EAE3051" w14:textId="18B68F0C" w:rsidR="002B6232" w:rsidRPr="00CA6B4E" w:rsidRDefault="00CA6B4E">
      <w:pPr>
        <w:rPr>
          <w:rFonts w:hint="cs"/>
        </w:rPr>
      </w:pPr>
      <w:r w:rsidRPr="00CA6B4E">
        <w:rPr>
          <w:b/>
          <w:bCs/>
          <w:cs/>
        </w:rPr>
        <w:t xml:space="preserve">มีปัญหาปรึกษา ทนายภูวงษ์ </w:t>
      </w:r>
      <w:r w:rsidRPr="00CA6B4E">
        <w:rPr>
          <w:b/>
          <w:bCs/>
        </w:rPr>
        <w:t xml:space="preserve">081-803-4097 </w:t>
      </w:r>
      <w:r w:rsidRPr="00CA6B4E">
        <w:rPr>
          <w:b/>
          <w:bCs/>
          <w:cs/>
        </w:rPr>
        <w:t xml:space="preserve">หรือ ไลน์ ไอดี </w:t>
      </w:r>
      <w:r w:rsidRPr="00CA6B4E">
        <w:rPr>
          <w:b/>
          <w:bCs/>
        </w:rPr>
        <w:t xml:space="preserve">@lawyerpoovong </w:t>
      </w:r>
      <w:r w:rsidRPr="00CA6B4E">
        <w:rPr>
          <w:b/>
          <w:bCs/>
          <w:cs/>
        </w:rPr>
        <w:t>ทุกปัญหามีทางออก</w:t>
      </w:r>
      <w:r w:rsidRPr="00CA6B4E">
        <w:rPr>
          <w:b/>
          <w:bCs/>
        </w:rPr>
        <w:br/>
      </w:r>
      <w:r w:rsidRPr="00CA6B4E">
        <w:rPr>
          <w:b/>
          <w:bCs/>
          <w:cs/>
        </w:rPr>
        <w:t>ค้นหาโพสต์ทั้งหมดได้ที่ คำถามที่ปรึกษาบ่อยในเว็บไซต์</w:t>
      </w:r>
      <w:r w:rsidRPr="00CA6B4E">
        <w:rPr>
          <w:b/>
          <w:bCs/>
        </w:rPr>
        <w:t xml:space="preserve"> </w:t>
      </w:r>
      <w:hyperlink r:id="rId5" w:history="1">
        <w:r w:rsidRPr="00CA6B4E">
          <w:rPr>
            <w:rStyle w:val="Hyperlink"/>
            <w:b/>
            <w:bCs/>
          </w:rPr>
          <w:t>www.</w:t>
        </w:r>
        <w:r w:rsidRPr="00CA6B4E">
          <w:rPr>
            <w:rStyle w:val="Hyperlink"/>
            <w:b/>
            <w:bCs/>
            <w:cs/>
          </w:rPr>
          <w:t>สู้คดี.</w:t>
        </w:r>
        <w:r w:rsidRPr="00CA6B4E">
          <w:rPr>
            <w:rStyle w:val="Hyperlink"/>
            <w:b/>
            <w:bCs/>
          </w:rPr>
          <w:t>com</w:t>
        </w:r>
      </w:hyperlink>
      <w:r w:rsidRPr="00CA6B4E">
        <w:rPr>
          <w:b/>
          <w:bCs/>
        </w:rPr>
        <w:t xml:space="preserve"> </w:t>
      </w:r>
      <w:r w:rsidRPr="00CA6B4E">
        <w:rPr>
          <w:b/>
          <w:bCs/>
          <w:cs/>
        </w:rPr>
        <w:t>และ</w:t>
      </w:r>
      <w:r w:rsidRPr="00CA6B4E">
        <w:rPr>
          <w:b/>
          <w:bCs/>
        </w:rPr>
        <w:t xml:space="preserve"> </w:t>
      </w:r>
      <w:hyperlink r:id="rId6" w:history="1">
        <w:r w:rsidRPr="00CA6B4E">
          <w:rPr>
            <w:rStyle w:val="Hyperlink"/>
            <w:b/>
            <w:bCs/>
          </w:rPr>
          <w:t>www.</w:t>
        </w:r>
        <w:r w:rsidRPr="00CA6B4E">
          <w:rPr>
            <w:rStyle w:val="Hyperlink"/>
            <w:b/>
            <w:bCs/>
            <w:cs/>
          </w:rPr>
          <w:t>ทนายภูวงษ์.</w:t>
        </w:r>
        <w:r w:rsidRPr="00CA6B4E">
          <w:rPr>
            <w:rStyle w:val="Hyperlink"/>
            <w:b/>
            <w:bCs/>
          </w:rPr>
          <w:t>com</w:t>
        </w:r>
      </w:hyperlink>
    </w:p>
    <w:sectPr w:rsidR="002B6232" w:rsidRPr="00CA6B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6A722E"/>
    <w:multiLevelType w:val="multilevel"/>
    <w:tmpl w:val="62EC9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4582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B4E"/>
    <w:rsid w:val="000554F2"/>
    <w:rsid w:val="001C2C6A"/>
    <w:rsid w:val="002B6232"/>
    <w:rsid w:val="005A4BC0"/>
    <w:rsid w:val="00A43436"/>
    <w:rsid w:val="00AF4A52"/>
    <w:rsid w:val="00CA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BDFBF"/>
  <w15:chartTrackingRefBased/>
  <w15:docId w15:val="{123A970C-3A81-47EB-86F0-090F5EE11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6B4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6B4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6B4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6B4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6B4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6B4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6B4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6B4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6B4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6B4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6B4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6B4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6B4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6B4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6B4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6B4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6B4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6B4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6B4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A6B4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6B4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A6B4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A6B4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6B4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6B4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A6B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6B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6B4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6B4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A6B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B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2025-07-28T02:41:00Z</dcterms:created>
  <dcterms:modified xsi:type="dcterms:W3CDTF">2025-07-28T02:42:00Z</dcterms:modified>
</cp:coreProperties>
</file>