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45A5E" w14:textId="77777777" w:rsidR="00E35614" w:rsidRPr="00E35614" w:rsidRDefault="00E35614" w:rsidP="00E35614">
      <w:r w:rsidRPr="00E35614">
        <w:rPr>
          <w:cs/>
        </w:rPr>
        <w:t xml:space="preserve">ลำดับที่ </w:t>
      </w:r>
      <w:r w:rsidRPr="00E35614">
        <w:t>000468</w:t>
      </w:r>
    </w:p>
    <w:p w14:paraId="008BABE2" w14:textId="0AAEEA5D" w:rsidR="00E35614" w:rsidRPr="00E35614" w:rsidRDefault="00E35614" w:rsidP="00E35614">
      <w:r w:rsidRPr="00E3561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E35614">
        <w:rPr>
          <w:cs/>
        </w:rPr>
        <w:t>พินัยกรรมขัดกันในการยกเงินฝากแก่ผู้รับพินัยกรรมภายหลัง</w:t>
      </w:r>
    </w:p>
    <w:p w14:paraId="094DA784" w14:textId="77777777" w:rsidR="00E35614" w:rsidRPr="00E35614" w:rsidRDefault="00E35614" w:rsidP="00E35614">
      <w:r w:rsidRPr="00E35614">
        <w:rPr>
          <w:cs/>
        </w:rPr>
        <w:t xml:space="preserve">วิเคราะห์ฎีกาที่ </w:t>
      </w:r>
      <w:r w:rsidRPr="00E35614">
        <w:t>2389/2540</w:t>
      </w:r>
    </w:p>
    <w:p w14:paraId="03201F17" w14:textId="77777777" w:rsidR="00E35614" w:rsidRPr="00E35614" w:rsidRDefault="00E35614" w:rsidP="00E35614">
      <w:r w:rsidRPr="00E3561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35614">
        <w:t>0818034097</w:t>
      </w:r>
    </w:p>
    <w:p w14:paraId="025573D0" w14:textId="77777777" w:rsidR="00E35614" w:rsidRPr="00E35614" w:rsidRDefault="00E35614" w:rsidP="00E35614">
      <w:r w:rsidRPr="00E35614">
        <w:rPr>
          <w:cs/>
        </w:rPr>
        <w:t>กฎหมายเกี่ยวกับอะไร</w:t>
      </w:r>
      <w:r w:rsidRPr="00E35614">
        <w:br/>
      </w:r>
      <w:r w:rsidRPr="00E35614">
        <w:rPr>
          <w:cs/>
        </w:rPr>
        <w:t>ประมวลกฎหมายแพ่งและพาณิชย์ ว่าด้วยเรื่องพินัยกรรม การโอนทรัพย์สิน การเป็นเจ้าของร่วม และการแบ่งมรดกของเจ้ามรดกตามพินัยกรรมที่ขัดกัน</w:t>
      </w:r>
    </w:p>
    <w:p w14:paraId="2348A21C" w14:textId="77777777" w:rsidR="00E35614" w:rsidRPr="00E35614" w:rsidRDefault="00E35614" w:rsidP="00E35614">
      <w:r w:rsidRPr="00E35614">
        <w:rPr>
          <w:cs/>
        </w:rPr>
        <w:t xml:space="preserve">วิเคราะห์คำพิพากษาฎีกาที่ </w:t>
      </w:r>
      <w:r w:rsidRPr="00E35614">
        <w:t>2389/2540</w:t>
      </w:r>
      <w:r w:rsidRPr="00E35614">
        <w:br/>
      </w:r>
      <w:r w:rsidRPr="00E35614">
        <w:rPr>
          <w:b/>
          <w:bCs/>
          <w:cs/>
        </w:rPr>
        <w:t>ข้อเท็จจริง</w:t>
      </w:r>
      <w:r w:rsidRPr="00E35614">
        <w:br/>
      </w:r>
      <w:r w:rsidRPr="00E35614">
        <w:rPr>
          <w:cs/>
        </w:rPr>
        <w:t xml:space="preserve">เจ้ามรดกเปิดบัญชีเงินฝากร่วมกับจำเลยที่ </w:t>
      </w:r>
      <w:r w:rsidRPr="00E35614">
        <w:t xml:space="preserve">2 </w:t>
      </w:r>
      <w:r w:rsidRPr="00E35614">
        <w:rPr>
          <w:cs/>
        </w:rPr>
        <w:t xml:space="preserve">โดยมีคำสั่งกับธนาคารว่า หากฝ่ายใดฝ่ายหนึ่งถึงแก่กรรม เงินในบัญชีจะตกเป็นของอีกฝ่ายหนึ่ง และให้มีอำนาจในการถอนหรือจัดการเงินได้ต่อไป ต่อมาเจ้ามรดกได้ทำพินัยกรรมอีกฉบับหนึ่งให้โจทก์ได้รับเงินจำนวน </w:t>
      </w:r>
      <w:r w:rsidRPr="00E35614">
        <w:t xml:space="preserve">1,000,000 </w:t>
      </w:r>
      <w:r w:rsidRPr="00E35614">
        <w:rPr>
          <w:cs/>
        </w:rPr>
        <w:t>บาทจากบัญชีเงินฝากดังกล่าว โดยให้จำเลยทั้งสองเป็นผู้จัดการมรดกดำเนินการจ่ายเงินนั้น</w:t>
      </w:r>
    </w:p>
    <w:p w14:paraId="347FCD18" w14:textId="77777777" w:rsidR="00E35614" w:rsidRPr="00E35614" w:rsidRDefault="00E35614" w:rsidP="00E35614">
      <w:r w:rsidRPr="00E35614">
        <w:rPr>
          <w:b/>
          <w:bCs/>
          <w:cs/>
        </w:rPr>
        <w:t>ข้อกฎหมายและดุลพินิจของศาล</w:t>
      </w:r>
      <w:r w:rsidRPr="00E35614">
        <w:br/>
      </w:r>
      <w:r w:rsidRPr="00E35614">
        <w:rPr>
          <w:cs/>
        </w:rPr>
        <w:t>ศาลฎีกาได้วินิจฉัยว่า</w:t>
      </w:r>
    </w:p>
    <w:p w14:paraId="25EBDFC2" w14:textId="77777777" w:rsidR="00E35614" w:rsidRPr="00E35614" w:rsidRDefault="00E35614" w:rsidP="00E35614">
      <w:pPr>
        <w:numPr>
          <w:ilvl w:val="0"/>
          <w:numId w:val="1"/>
        </w:numPr>
      </w:pPr>
      <w:r w:rsidRPr="00E35614">
        <w:rPr>
          <w:cs/>
        </w:rPr>
        <w:t>การเปิดบัญชีเงินฝากร่วมพร้อมคำสั่งให้เงินตกแก่ผู้รอดชีวิต เป็นการแสดงเจตนายกทรัพย์แบบเผื่อตาย (พินัยกรรม)</w:t>
      </w:r>
    </w:p>
    <w:p w14:paraId="64F3E2FD" w14:textId="77777777" w:rsidR="00E35614" w:rsidRPr="00E35614" w:rsidRDefault="00E35614" w:rsidP="00E35614">
      <w:pPr>
        <w:numPr>
          <w:ilvl w:val="0"/>
          <w:numId w:val="1"/>
        </w:numPr>
      </w:pPr>
      <w:r w:rsidRPr="00E35614">
        <w:rPr>
          <w:cs/>
        </w:rPr>
        <w:t>แบบดังกล่าวต้องเป็นไปตาม ป.</w:t>
      </w:r>
      <w:proofErr w:type="spellStart"/>
      <w:r w:rsidRPr="00E35614">
        <w:rPr>
          <w:cs/>
        </w:rPr>
        <w:t>พ.พ</w:t>
      </w:r>
      <w:proofErr w:type="spellEnd"/>
      <w:r w:rsidRPr="00E35614">
        <w:rPr>
          <w:cs/>
        </w:rPr>
        <w:t xml:space="preserve">. มาตรา </w:t>
      </w:r>
      <w:r w:rsidRPr="00E35614">
        <w:t xml:space="preserve">1656 </w:t>
      </w:r>
      <w:r w:rsidRPr="00E35614">
        <w:rPr>
          <w:cs/>
        </w:rPr>
        <w:t xml:space="preserve">กล่าวคือ ต้องมีพยานอย่างน้อย </w:t>
      </w:r>
      <w:r w:rsidRPr="00E35614">
        <w:t xml:space="preserve">2 </w:t>
      </w:r>
      <w:r w:rsidRPr="00E35614">
        <w:rPr>
          <w:cs/>
        </w:rPr>
        <w:t>คน ลงลายมือชื่อพร้อมผู้ทำพินัยกรรม ซึ่งในกรณีนี้ถูกต้อง</w:t>
      </w:r>
    </w:p>
    <w:p w14:paraId="7B57ED5E" w14:textId="77777777" w:rsidR="00E35614" w:rsidRPr="00E35614" w:rsidRDefault="00E35614" w:rsidP="00E35614">
      <w:pPr>
        <w:numPr>
          <w:ilvl w:val="0"/>
          <w:numId w:val="1"/>
        </w:numPr>
      </w:pPr>
      <w:r w:rsidRPr="00E35614">
        <w:rPr>
          <w:cs/>
        </w:rPr>
        <w:t xml:space="preserve">อย่างไรก็ดี เมื่อมีพินัยกรรมฉบับใหม่ทำขึ้นในภายหลัง โดยกำหนดให้เงินจำนวน </w:t>
      </w:r>
      <w:r w:rsidRPr="00E35614">
        <w:t xml:space="preserve">1,000,000 </w:t>
      </w:r>
      <w:r w:rsidRPr="00E35614">
        <w:rPr>
          <w:cs/>
        </w:rPr>
        <w:t>บาท แก่โจทก์ ซึ่งขัดกับพินัยกรรมฉบับแรก</w:t>
      </w:r>
    </w:p>
    <w:p w14:paraId="773A356B" w14:textId="77777777" w:rsidR="00E35614" w:rsidRPr="00E35614" w:rsidRDefault="00E35614" w:rsidP="00E35614">
      <w:pPr>
        <w:numPr>
          <w:ilvl w:val="0"/>
          <w:numId w:val="1"/>
        </w:numPr>
      </w:pPr>
      <w:r w:rsidRPr="00E35614">
        <w:rPr>
          <w:cs/>
        </w:rPr>
        <w:t>ตาม ป.</w:t>
      </w:r>
      <w:proofErr w:type="spellStart"/>
      <w:r w:rsidRPr="00E35614">
        <w:rPr>
          <w:cs/>
        </w:rPr>
        <w:t>พ.พ</w:t>
      </w:r>
      <w:proofErr w:type="spellEnd"/>
      <w:r w:rsidRPr="00E35614">
        <w:rPr>
          <w:cs/>
        </w:rPr>
        <w:t xml:space="preserve">. มาตรา </w:t>
      </w:r>
      <w:r w:rsidRPr="00E35614">
        <w:t xml:space="preserve">1697 </w:t>
      </w:r>
      <w:r w:rsidRPr="00E35614">
        <w:rPr>
          <w:cs/>
        </w:rPr>
        <w:t>ข้อความใดในพินัยกรรมฉบับก่อนที่ขัดกับฉบับหลัง ถือว่าเพิกถอนโดยพินัยกรรมฉบับหลัง</w:t>
      </w:r>
    </w:p>
    <w:p w14:paraId="0F2036E5" w14:textId="77777777" w:rsidR="00E35614" w:rsidRPr="00E35614" w:rsidRDefault="00E35614" w:rsidP="00E35614">
      <w:pPr>
        <w:numPr>
          <w:ilvl w:val="0"/>
          <w:numId w:val="1"/>
        </w:numPr>
      </w:pPr>
      <w:r w:rsidRPr="00E35614">
        <w:rPr>
          <w:cs/>
        </w:rPr>
        <w:lastRenderedPageBreak/>
        <w:t xml:space="preserve">ดังนั้น พินัยกรรมฉบับแรกย่อมถูกเพิกถอนในส่วนที่ขัดกับพินัยกรรมฉบับใหม่ (เฉพาะเงิน </w:t>
      </w:r>
      <w:r w:rsidRPr="00E35614">
        <w:t xml:space="preserve">1,000,000 </w:t>
      </w:r>
      <w:r w:rsidRPr="00E35614">
        <w:rPr>
          <w:cs/>
        </w:rPr>
        <w:t>บาท)</w:t>
      </w:r>
    </w:p>
    <w:p w14:paraId="61E6ADC1" w14:textId="77777777" w:rsidR="00E35614" w:rsidRPr="00E35614" w:rsidRDefault="00E35614" w:rsidP="00E35614">
      <w:r w:rsidRPr="00E35614">
        <w:rPr>
          <w:b/>
          <w:bCs/>
          <w:cs/>
        </w:rPr>
        <w:t>คำพิพากษาศาลฎีกา</w:t>
      </w:r>
      <w:r w:rsidRPr="00E35614">
        <w:br/>
      </w:r>
      <w:r w:rsidRPr="00E35614">
        <w:rPr>
          <w:cs/>
        </w:rPr>
        <w:t xml:space="preserve">ให้จำเลยทั้งสองในฐานะผู้จัดการมรดกต้องแบ่งเงินในบัญชีเป็นจำนวน </w:t>
      </w:r>
      <w:r w:rsidRPr="00E35614">
        <w:t xml:space="preserve">1,000,000 </w:t>
      </w:r>
      <w:r w:rsidRPr="00E35614">
        <w:rPr>
          <w:cs/>
        </w:rPr>
        <w:t>บาท แก่โจทก์ตามพินัยกรรมฉบับหลัง</w:t>
      </w:r>
    </w:p>
    <w:p w14:paraId="69A4B8A7" w14:textId="77777777" w:rsidR="00E35614" w:rsidRPr="00E35614" w:rsidRDefault="00E35614" w:rsidP="00E35614">
      <w:r w:rsidRPr="00E35614">
        <w:rPr>
          <w:cs/>
        </w:rPr>
        <w:t>สรุปคำพิพากษา</w:t>
      </w:r>
      <w:r w:rsidRPr="00E35614">
        <w:br/>
      </w:r>
      <w:r w:rsidRPr="00E35614">
        <w:rPr>
          <w:cs/>
        </w:rPr>
        <w:t xml:space="preserve">เมื่อเจ้ามรดกได้ทำพินัยกรรมกำหนดให้โจทก์ได้รับเงินจำนวน </w:t>
      </w:r>
      <w:r w:rsidRPr="00E35614">
        <w:t xml:space="preserve">1,000,000 </w:t>
      </w:r>
      <w:r w:rsidRPr="00E35614">
        <w:rPr>
          <w:cs/>
        </w:rPr>
        <w:t xml:space="preserve">บาท ซึ่งขัดกับคำสั่งที่ให้เงินในบัญชีตกแก่จำเลยที่ </w:t>
      </w:r>
      <w:r w:rsidRPr="00E35614">
        <w:t xml:space="preserve">2 </w:t>
      </w:r>
      <w:r w:rsidRPr="00E35614">
        <w:rPr>
          <w:cs/>
        </w:rPr>
        <w:t xml:space="preserve">ทั้งหมด พินัยกรรมฉบับหลังย่อมเป็นการเพิกถอนพินัยกรรมฉบับก่อนในส่วนที่ขัดกัน จำเลยที่ </w:t>
      </w:r>
      <w:r w:rsidRPr="00E35614">
        <w:t xml:space="preserve">2 </w:t>
      </w:r>
      <w:r w:rsidRPr="00E35614">
        <w:rPr>
          <w:cs/>
        </w:rPr>
        <w:t>ไม่ได้รับเงินจำนวนดังกล่าวทั้งหมด แต่ต้องแบ่งให้โจทก์ตามพินัยกรรมใหม่</w:t>
      </w:r>
    </w:p>
    <w:p w14:paraId="3C86B7F6" w14:textId="166D3809" w:rsidR="002B6232" w:rsidRDefault="00E35614">
      <w:r w:rsidRPr="00E35614">
        <w:rPr>
          <w:cs/>
        </w:rPr>
        <w:t xml:space="preserve">มีปัญหาปรึกษา ทนายภูวงษ์ </w:t>
      </w:r>
      <w:r w:rsidRPr="00E35614">
        <w:t xml:space="preserve">081-803-4097 </w:t>
      </w:r>
      <w:r w:rsidRPr="00E35614">
        <w:rPr>
          <w:cs/>
        </w:rPr>
        <w:t xml:space="preserve">หรือ ไลน์ ไอดี </w:t>
      </w:r>
      <w:r w:rsidRPr="00E35614">
        <w:t xml:space="preserve">@lawyerpoovong </w:t>
      </w:r>
      <w:r w:rsidRPr="00E35614">
        <w:rPr>
          <w:cs/>
        </w:rPr>
        <w:t>ทุกปัญหามีทางออก</w:t>
      </w:r>
      <w:r w:rsidRPr="00E35614">
        <w:br/>
      </w:r>
      <w:r w:rsidRPr="00E35614">
        <w:rPr>
          <w:cs/>
        </w:rPr>
        <w:t>ค้นหาคำพิพากษาฎีกาทั้งหมดได้ที่ “ฎีกาสำคัญ“ ในเว็บไซต์</w:t>
      </w:r>
      <w:r w:rsidRPr="00E35614">
        <w:t xml:space="preserve"> </w:t>
      </w:r>
      <w:hyperlink r:id="rId5" w:history="1">
        <w:r w:rsidRPr="00E35614">
          <w:rPr>
            <w:rStyle w:val="Hyperlink"/>
          </w:rPr>
          <w:t>www.</w:t>
        </w:r>
        <w:r w:rsidRPr="00E35614">
          <w:rPr>
            <w:rStyle w:val="Hyperlink"/>
            <w:cs/>
          </w:rPr>
          <w:t>สู้คดี.</w:t>
        </w:r>
        <w:r w:rsidRPr="00E35614">
          <w:rPr>
            <w:rStyle w:val="Hyperlink"/>
          </w:rPr>
          <w:t>com</w:t>
        </w:r>
      </w:hyperlink>
      <w:r w:rsidRPr="00E35614">
        <w:t xml:space="preserve"> </w:t>
      </w:r>
      <w:r w:rsidRPr="00E35614">
        <w:rPr>
          <w:cs/>
        </w:rPr>
        <w:t>และ</w:t>
      </w:r>
      <w:r w:rsidRPr="00E35614">
        <w:t xml:space="preserve"> </w:t>
      </w:r>
      <w:hyperlink r:id="rId6" w:history="1">
        <w:r w:rsidRPr="00E35614">
          <w:rPr>
            <w:rStyle w:val="Hyperlink"/>
          </w:rPr>
          <w:t>www.</w:t>
        </w:r>
        <w:r w:rsidRPr="00E35614">
          <w:rPr>
            <w:rStyle w:val="Hyperlink"/>
            <w:cs/>
          </w:rPr>
          <w:t>ทนายภูวงษ์.</w:t>
        </w:r>
        <w:r w:rsidRPr="00E35614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66FFF"/>
    <w:multiLevelType w:val="multilevel"/>
    <w:tmpl w:val="9170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213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14"/>
    <w:rsid w:val="000554F2"/>
    <w:rsid w:val="001C2C6A"/>
    <w:rsid w:val="002B6232"/>
    <w:rsid w:val="00824550"/>
    <w:rsid w:val="00A43436"/>
    <w:rsid w:val="00AF4A52"/>
    <w:rsid w:val="00E3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F87F"/>
  <w15:chartTrackingRefBased/>
  <w15:docId w15:val="{E8F0C12E-6490-4EAE-9E37-D0B63CD0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61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61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61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6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6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6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6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6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6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61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61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61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6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6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6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6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6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6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61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3561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6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356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3561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61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61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356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6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61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6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56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2025-07-28T03:47:00Z</dcterms:created>
  <dcterms:modified xsi:type="dcterms:W3CDTF">2025-07-28T03:47:00Z</dcterms:modified>
</cp:coreProperties>
</file>