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36437" w14:textId="77777777" w:rsidR="00383571" w:rsidRDefault="00383571" w:rsidP="00383571">
      <w:r>
        <w:rPr>
          <w:cs/>
        </w:rPr>
        <w:t>ลำดับที่ 000605</w:t>
      </w:r>
    </w:p>
    <w:p w14:paraId="5D1B6735" w14:textId="0CA5C66D" w:rsidR="00383571" w:rsidRDefault="00383571" w:rsidP="00383571">
      <w:pPr>
        <w:rPr>
          <w:rFonts w:hint="cs"/>
        </w:rPr>
      </w:pPr>
      <w:r>
        <w:rPr>
          <w:rFonts w:hint="cs"/>
          <w:cs/>
        </w:rPr>
        <w:t xml:space="preserve">หัวข้อเรื่อง </w:t>
      </w:r>
      <w:r>
        <w:rPr>
          <w:cs/>
        </w:rPr>
        <w:t>กรรมสิทธิ์ในไม้และความรับผิดเมื่อเกิดเพลิงไหม้</w:t>
      </w:r>
    </w:p>
    <w:p w14:paraId="7F533437" w14:textId="77777777" w:rsidR="00383571" w:rsidRDefault="00383571" w:rsidP="00383571">
      <w:r>
        <w:rPr>
          <w:cs/>
        </w:rPr>
        <w:t>วิเคราะห์ฎีกาที่ 339/2506</w:t>
      </w:r>
    </w:p>
    <w:p w14:paraId="36072BA0" w14:textId="77777777" w:rsidR="00383571" w:rsidRDefault="00383571" w:rsidP="00383571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C216687" w14:textId="77777777" w:rsidR="00383571" w:rsidRDefault="00383571" w:rsidP="00383571"/>
    <w:p w14:paraId="386714DF" w14:textId="77777777" w:rsidR="00383571" w:rsidRDefault="00383571" w:rsidP="00383571">
      <w:r>
        <w:rPr>
          <w:cs/>
        </w:rPr>
        <w:t>กฎหมายเกี่ยวกับอะไร</w:t>
      </w:r>
    </w:p>
    <w:p w14:paraId="659881F5" w14:textId="77777777" w:rsidR="00383571" w:rsidRDefault="00383571" w:rsidP="00383571">
      <w:r>
        <w:rPr>
          <w:cs/>
        </w:rPr>
        <w:t>กฎหมายแพ่งว่าด้วยสัญญาซื้อขาย การโอนกรรมสิทธิ์ และความรับผิดในความสูญหายของทรัพย์ตามประมวลกฎหมายแพ่งและพาณิชย์ มาตรา 370 และ 460</w:t>
      </w:r>
    </w:p>
    <w:p w14:paraId="26BE70C4" w14:textId="77777777" w:rsidR="00383571" w:rsidRDefault="00383571" w:rsidP="00383571"/>
    <w:p w14:paraId="72F8E418" w14:textId="77777777" w:rsidR="00383571" w:rsidRDefault="00383571" w:rsidP="00383571">
      <w:r>
        <w:rPr>
          <w:cs/>
        </w:rPr>
        <w:t>วิเคราะห์คำพิพากษาฎีกาเลขที่ 339/2506</w:t>
      </w:r>
    </w:p>
    <w:p w14:paraId="51536534" w14:textId="77777777" w:rsidR="00383571" w:rsidRDefault="00383571" w:rsidP="00383571">
      <w:r>
        <w:rPr>
          <w:cs/>
        </w:rPr>
        <w:t>ข้อเท็จจริง:</w:t>
      </w:r>
    </w:p>
    <w:p w14:paraId="075E58BB" w14:textId="77777777" w:rsidR="00383571" w:rsidRDefault="00383571" w:rsidP="00383571">
      <w:r>
        <w:rPr>
          <w:cs/>
        </w:rPr>
        <w:t>จำเลยตกลงขายไม้ที่อยู่ในโรงเลื่อยให้แก่โจทก์ โดยมีเจ้าหน้าที่ของโจทก์เข้าไปวัดไม้และตีตรากรรมสิทธิ์ครบถ้วนตามสัญญา จากนั้นโจทก์ได้ชำระราคาค่าไม้เรียบร้อยแล้ว</w:t>
      </w:r>
    </w:p>
    <w:p w14:paraId="497EB36F" w14:textId="77777777" w:rsidR="00383571" w:rsidRDefault="00383571" w:rsidP="00383571"/>
    <w:p w14:paraId="1CB67754" w14:textId="77777777" w:rsidR="00383571" w:rsidRDefault="00383571" w:rsidP="00383571">
      <w:r>
        <w:rPr>
          <w:cs/>
        </w:rPr>
        <w:t>ข้อกฎหมาย:</w:t>
      </w:r>
    </w:p>
    <w:p w14:paraId="1F0C885E" w14:textId="77777777" w:rsidR="00383571" w:rsidRDefault="00383571" w:rsidP="00383571">
      <w:r>
        <w:rPr>
          <w:cs/>
        </w:rPr>
        <w:t>เมื่อไม้ได้วัด ตีตรา ชำระราคาแล้ว ถือว่ากรรมสิทธิ์ในไม้โอนไปยังโจทก์ตามหลักประมวลกฎหมายแพ่งและพาณิชย์ มาตรา 370 และ 460 แม้ไม้ยังไม่ได้เคลื่อนย้ายออกจากโรงเลื่อย</w:t>
      </w:r>
    </w:p>
    <w:p w14:paraId="3ED83020" w14:textId="77777777" w:rsidR="00383571" w:rsidRDefault="00383571" w:rsidP="00383571"/>
    <w:p w14:paraId="06BB1B63" w14:textId="77777777" w:rsidR="00383571" w:rsidRDefault="00383571" w:rsidP="00383571">
      <w:r>
        <w:rPr>
          <w:cs/>
        </w:rPr>
        <w:t>ดุลพินิจของศาลและเหตุผล:</w:t>
      </w:r>
    </w:p>
    <w:p w14:paraId="53165DAF" w14:textId="77777777" w:rsidR="00383571" w:rsidRDefault="00383571" w:rsidP="00383571">
      <w:r>
        <w:rPr>
          <w:cs/>
        </w:rPr>
        <w:t>ศาลเห็นว่า เมื่อกรรมสิทธิ์ในไม้ได้โอนเป็นของโจทก์แล้ว การที่ไม้ถูกไฟไหม้เสียหายจากเหตุที่จำเลยมิได้มีความผิดหรือประมาทเลินเล่อใดๆ ย่อมเป็นความเสียหายที่ตกแก่โจทก์ เพราะทรัพย์สินมิใช่ของจำเลยอีกต่อไปแล้ว</w:t>
      </w:r>
    </w:p>
    <w:p w14:paraId="1C14EFAC" w14:textId="77777777" w:rsidR="00383571" w:rsidRDefault="00383571" w:rsidP="00383571"/>
    <w:p w14:paraId="6A3B5EF1" w14:textId="77777777" w:rsidR="00383571" w:rsidRDefault="00383571" w:rsidP="00383571">
      <w:r>
        <w:rPr>
          <w:cs/>
        </w:rPr>
        <w:lastRenderedPageBreak/>
        <w:t>อย่างไรก็ตาม หากในสัญญาระบุว่า “จำเลยยังต้องรับผิดในไม้จนกว่าจะส่งมอบถึงที่” ซึ่งเป็นข้อตกลงเฉพาะที่ขัดแย้งกับบทบัญญัติกฎหมาย (มาตรา 370 และ 460) โจทก์จะต้องยกข้อความในสัญญาข้อนั้นมากล่าวอ้างในฟ้องให้ชัดเจนจึงจะมีผล</w:t>
      </w:r>
    </w:p>
    <w:p w14:paraId="02B62C01" w14:textId="77777777" w:rsidR="00383571" w:rsidRDefault="00383571" w:rsidP="00383571"/>
    <w:p w14:paraId="21C2DDC9" w14:textId="77777777" w:rsidR="00383571" w:rsidRDefault="00383571" w:rsidP="00383571">
      <w:r>
        <w:rPr>
          <w:cs/>
        </w:rPr>
        <w:t>สรุปคำพิพากษา</w:t>
      </w:r>
    </w:p>
    <w:p w14:paraId="4BC31D12" w14:textId="77777777" w:rsidR="00383571" w:rsidRDefault="00383571" w:rsidP="00383571">
      <w:r>
        <w:rPr>
          <w:cs/>
        </w:rPr>
        <w:t>เมื่อไม้ที่ซื้อขายได้วัดและตีตราแล้ว และโจทก์ชำระราคาครบถ้วน ย่อมถือว่ากรรมสิทธิ์ได้โอนแล้ว หากไม้ถูกไฟไหม้โดยจำเลยมิได้มีความผิด การสูญเสียตกเป็นของโจทก์ เว้นแต่จะมีเงื่อนไขในสัญญาที่ระบุว่าจำเลยยังต้องรับผิดจนกว่าจะส่งมอบ และเงื่อนไขนี้ต้องถูกนำมากล่าวอ้างในคำฟ้องอย่างชัดแจ้งจึงจะใช้บังคับได้</w:t>
      </w:r>
    </w:p>
    <w:p w14:paraId="173F1D19" w14:textId="77777777" w:rsidR="00383571" w:rsidRDefault="00383571" w:rsidP="00383571"/>
    <w:p w14:paraId="6B4C0E96" w14:textId="77777777" w:rsidR="00383571" w:rsidRDefault="00383571" w:rsidP="00383571">
      <w:r>
        <w:rPr>
          <w:rFonts w:ascii="Segoe UI Symbol" w:hAnsi="Segoe UI Symbol" w:cs="Segoe UI Symbol"/>
        </w:rPr>
        <w:t>⸻</w:t>
      </w:r>
    </w:p>
    <w:p w14:paraId="5FD88DC5" w14:textId="77777777" w:rsidR="00383571" w:rsidRDefault="00383571" w:rsidP="00383571"/>
    <w:p w14:paraId="11C3B362" w14:textId="77777777" w:rsidR="00383571" w:rsidRDefault="00383571" w:rsidP="00383571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4FC32870" w14:textId="1BC570E6" w:rsidR="004877B1" w:rsidRDefault="00383571" w:rsidP="00383571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571"/>
    <w:rsid w:val="00023843"/>
    <w:rsid w:val="000933EF"/>
    <w:rsid w:val="003800EB"/>
    <w:rsid w:val="00383571"/>
    <w:rsid w:val="003D281C"/>
    <w:rsid w:val="004877B1"/>
    <w:rsid w:val="004A4C87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D4B80"/>
  <w15:chartTrackingRefBased/>
  <w15:docId w15:val="{2989BEEB-1629-413E-A89D-EA613DF2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57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57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57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57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57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57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57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571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571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571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571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571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571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571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571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571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383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8357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57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8357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83571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383571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383571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3835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5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571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3835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2025-07-30T05:57:00Z</dcterms:created>
  <dcterms:modified xsi:type="dcterms:W3CDTF">2025-07-30T05:57:00Z</dcterms:modified>
</cp:coreProperties>
</file>