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02D0CC" w14:textId="77777777" w:rsidR="00A65D86" w:rsidRDefault="00A65D86" w:rsidP="00A65D86">
      <w:r>
        <w:rPr>
          <w:cs/>
        </w:rPr>
        <w:t>ลำดับที่ 000607</w:t>
      </w:r>
    </w:p>
    <w:p w14:paraId="3410D776" w14:textId="77777777" w:rsidR="00A65D86" w:rsidRDefault="00A65D86" w:rsidP="00A65D86">
      <w:r>
        <w:rPr>
          <w:cs/>
        </w:rPr>
        <w:t>หัวข้อเรื่อง การใช้กำลังกระชากทรัพย์ต่อหน้าเป็นความผิดฐานใด</w:t>
      </w:r>
    </w:p>
    <w:p w14:paraId="052689EF" w14:textId="77777777" w:rsidR="00A65D86" w:rsidRDefault="00A65D86" w:rsidP="00A65D86"/>
    <w:p w14:paraId="328654EA" w14:textId="77777777" w:rsidR="00A65D86" w:rsidRDefault="00A65D86" w:rsidP="00A65D86">
      <w:r>
        <w:rPr>
          <w:cs/>
        </w:rPr>
        <w:t>วิเคราะห์ฎีกาที่ 831/2532</w:t>
      </w:r>
    </w:p>
    <w:p w14:paraId="66746C99" w14:textId="77777777" w:rsidR="00A65D86" w:rsidRDefault="00A65D86" w:rsidP="00A65D86">
      <w:r>
        <w:rPr>
          <w:cs/>
        </w:rPr>
        <w:t>วิเคราะห์คำพิพากษาฎีกา โดยทนายภูวงษ์ ปรึกษากฎหมาย ปรึกษาคดีความ โทร. 0818034097</w:t>
      </w:r>
    </w:p>
    <w:p w14:paraId="1B771063" w14:textId="77777777" w:rsidR="00A65D86" w:rsidRDefault="00A65D86" w:rsidP="00A65D86"/>
    <w:p w14:paraId="41BC6188" w14:textId="77777777" w:rsidR="00A65D86" w:rsidRDefault="00A65D86" w:rsidP="00A65D86">
      <w:r>
        <w:rPr>
          <w:cs/>
        </w:rPr>
        <w:t>กฎหมายเกี่ยวกับอะไร</w:t>
      </w:r>
    </w:p>
    <w:p w14:paraId="72F687C1" w14:textId="77777777" w:rsidR="00A65D86" w:rsidRDefault="00A65D86" w:rsidP="00A65D86">
      <w:r>
        <w:rPr>
          <w:cs/>
        </w:rPr>
        <w:t>ประมวลกฎหมายอาญา ความผิดเกี่ยวกับทรัพย์ ได้แก่ ลักทรัพย์ ชิงทรัพย์ วิ่งราวทรัพย์ มาตรา 334</w:t>
      </w:r>
      <w:r>
        <w:t xml:space="preserve">, </w:t>
      </w:r>
      <w:r>
        <w:rPr>
          <w:cs/>
        </w:rPr>
        <w:t>336</w:t>
      </w:r>
      <w:r>
        <w:t xml:space="preserve">, </w:t>
      </w:r>
      <w:r>
        <w:rPr>
          <w:cs/>
        </w:rPr>
        <w:t>339</w:t>
      </w:r>
      <w:r>
        <w:t xml:space="preserve">, </w:t>
      </w:r>
      <w:r>
        <w:rPr>
          <w:cs/>
        </w:rPr>
        <w:t>340</w:t>
      </w:r>
    </w:p>
    <w:p w14:paraId="76C2DFC9" w14:textId="77777777" w:rsidR="00A65D86" w:rsidRDefault="00A65D86" w:rsidP="00A65D86"/>
    <w:p w14:paraId="2D1018C8" w14:textId="77777777" w:rsidR="00A65D86" w:rsidRDefault="00A65D86" w:rsidP="00A65D86">
      <w:r>
        <w:rPr>
          <w:cs/>
        </w:rPr>
        <w:t>วิเคราะห์คำพิพากษาฎีกาเลขที่ 831/2532</w:t>
      </w:r>
    </w:p>
    <w:p w14:paraId="5D9386BF" w14:textId="77777777" w:rsidR="00A65D86" w:rsidRDefault="00A65D86" w:rsidP="00A65D86">
      <w:r>
        <w:rPr>
          <w:cs/>
        </w:rPr>
        <w:t>ข้อเท็จจริง</w:t>
      </w:r>
    </w:p>
    <w:p w14:paraId="7FA54245" w14:textId="77777777" w:rsidR="00A65D86" w:rsidRDefault="00A65D86" w:rsidP="00A65D86">
      <w:r>
        <w:rPr>
          <w:cs/>
        </w:rPr>
        <w:t>จำเลยใช้มือซ้ายกระชากคอเสื้อผู้เสียหาย และใช้มือขวากระชากสร้อยคอทองคำของผู้เสียหายจนขาด แล้วเอาสร้อยคอกับพระเลี่ยมทองคำซึ่งแขวนอยู่ไป เหตุเกิดขึ้นอย่างต่อเนื่องทันที</w:t>
      </w:r>
    </w:p>
    <w:p w14:paraId="01EC5F0F" w14:textId="77777777" w:rsidR="00A65D86" w:rsidRDefault="00A65D86" w:rsidP="00A65D86"/>
    <w:p w14:paraId="64077E04" w14:textId="77777777" w:rsidR="00A65D86" w:rsidRDefault="00A65D86" w:rsidP="00A65D86">
      <w:r>
        <w:rPr>
          <w:cs/>
        </w:rPr>
        <w:t>ข้อกฎหมายและดุลพินิจของศาล</w:t>
      </w:r>
    </w:p>
    <w:p w14:paraId="0E7A48CF" w14:textId="77777777" w:rsidR="00A65D86" w:rsidRDefault="00A65D86" w:rsidP="00A65D86">
      <w:r>
        <w:rPr>
          <w:cs/>
        </w:rPr>
        <w:t>ศาลพิเคราะห์แล้วเห็นว่า การกระทำของจำเลยเป็นเพียงการใช้กิริยาฉกฉวยเอาทรัพย์ของผู้อื่นต่อหน้า ไม่ถึงขั้นการใช้กำลังประทุษร้ายอันจะเป็นองค์ประกอบของความผิดฐานชิงทรัพย์ (มาตรา 339) ดังนั้นจึงไม่เข้าข่ายความผิดฐานชิงทรัพย์</w:t>
      </w:r>
    </w:p>
    <w:p w14:paraId="0447E028" w14:textId="77777777" w:rsidR="00A65D86" w:rsidRDefault="00A65D86" w:rsidP="00A65D86">
      <w:r>
        <w:rPr>
          <w:cs/>
        </w:rPr>
        <w:t>ในขณะเดียวกันพฤติการณ์เป็นการกระทำที่เปิดเผยต่อหน้าผู้เสียหาย และใช้วิธีฉกฉวยทันทีจึงเข้าองค์ประกอบของความผิดฐาน “วิ่งราวทรัพย์” (มาตรา 336)</w:t>
      </w:r>
    </w:p>
    <w:p w14:paraId="546EFF6D" w14:textId="77777777" w:rsidR="00A65D86" w:rsidRDefault="00A65D86" w:rsidP="00A65D86">
      <w:r>
        <w:rPr>
          <w:cs/>
        </w:rPr>
        <w:t>อย่างไรก็ตาม โจทก์มิได้บรรยายฟ้องถึงองค์ประกอบของความผิดฐานวิ่งราวทรัพย์ และคำขอท้ายฟ้องก็ไม่ได้ขอให้ลงโทษในฐานนี้</w:t>
      </w:r>
    </w:p>
    <w:p w14:paraId="4149C879" w14:textId="77777777" w:rsidR="00A65D86" w:rsidRDefault="00A65D86" w:rsidP="00A65D86">
      <w:r>
        <w:rPr>
          <w:cs/>
        </w:rPr>
        <w:t>ตามหลักกฎหมายอาญา ศาลจะลงโทษได้เฉพาะในความผิดที่โจทก์ได้บรรยายและขอให้ลงโทษเท่านั้น</w:t>
      </w:r>
    </w:p>
    <w:p w14:paraId="469C958F" w14:textId="77777777" w:rsidR="00A65D86" w:rsidRDefault="00A65D86" w:rsidP="00A65D86">
      <w:r>
        <w:rPr>
          <w:cs/>
        </w:rPr>
        <w:lastRenderedPageBreak/>
        <w:t>ศาลจึงเห็นว่าคงลงโทษจำเลยได้เพียงในความผิดฐานลักทรัพย์ตามมาตรา 334 เท่านั้น</w:t>
      </w:r>
    </w:p>
    <w:p w14:paraId="0022735B" w14:textId="77777777" w:rsidR="00A65D86" w:rsidRDefault="00A65D86" w:rsidP="00A65D86"/>
    <w:p w14:paraId="44B02CD2" w14:textId="77777777" w:rsidR="00A65D86" w:rsidRDefault="00A65D86" w:rsidP="00A65D86">
      <w:r>
        <w:rPr>
          <w:cs/>
        </w:rPr>
        <w:t>สรุปคำพิพากษา</w:t>
      </w:r>
    </w:p>
    <w:p w14:paraId="35B44810" w14:textId="77777777" w:rsidR="00A65D86" w:rsidRDefault="00A65D86" w:rsidP="00A65D86">
      <w:r>
        <w:rPr>
          <w:cs/>
        </w:rPr>
        <w:t>การกระทำของจำเลยมีลักษณะเป็นการวิ่งราวทรัพย์ แต่เมื่อโจทก์มิได้กล่าวถึงองค์ประกอบของความผิดฐานนี้ในคำฟ้อง และมิได้ขอให้ลงโทษในฐานวิ่งราวทรัพย์ จึงไม่อาจลงโทษจำเลยในฐานดังกล่าวได้ จำเลยจึงมีความผิดในฐานลักทรัพย์เท่านั้น</w:t>
      </w:r>
    </w:p>
    <w:p w14:paraId="603D5285" w14:textId="77777777" w:rsidR="00A65D86" w:rsidRDefault="00A65D86" w:rsidP="00A65D86"/>
    <w:p w14:paraId="2B93A7D0" w14:textId="77777777" w:rsidR="00A65D86" w:rsidRDefault="00A65D86" w:rsidP="00A65D86">
      <w:r>
        <w:rPr>
          <w:cs/>
        </w:rPr>
        <w:t xml:space="preserve">มีปัญหาปรึกษา ทนายภูวงษ์ 081-803-4097 หรือ ไลน์ ไอดี </w:t>
      </w:r>
      <w:r>
        <w:t xml:space="preserve">@lawyerpoovong </w:t>
      </w:r>
      <w:r>
        <w:rPr>
          <w:cs/>
        </w:rPr>
        <w:t>ทุกปัญหามีทางออก</w:t>
      </w:r>
    </w:p>
    <w:p w14:paraId="2ADB6501" w14:textId="5A9994D4" w:rsidR="004877B1" w:rsidRDefault="00A65D86" w:rsidP="00A65D86">
      <w:r>
        <w:rPr>
          <w:cs/>
        </w:rPr>
        <w:t>ค้นหาคำพิพากษาฎีกาทั้งหมดได้ที่ “ฎีกาสำคัญ“ 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4877B1" w:rsidSect="00EC6C4B">
      <w:pgSz w:w="11906" w:h="16838" w:code="9"/>
      <w:pgMar w:top="1440" w:right="1800" w:bottom="1440" w:left="1800" w:header="720" w:footer="720" w:gutter="0"/>
      <w:cols w:space="720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60"/>
  <w:drawingGridVerticalSpacing w:val="435"/>
  <w:displayHorizontalDrawingGridEvery w:val="2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5D86"/>
    <w:rsid w:val="00023843"/>
    <w:rsid w:val="000933EF"/>
    <w:rsid w:val="00355F80"/>
    <w:rsid w:val="003800EB"/>
    <w:rsid w:val="003D281C"/>
    <w:rsid w:val="004877B1"/>
    <w:rsid w:val="00521EB5"/>
    <w:rsid w:val="005255C9"/>
    <w:rsid w:val="00547ACE"/>
    <w:rsid w:val="005D1B23"/>
    <w:rsid w:val="0073572E"/>
    <w:rsid w:val="00A22F73"/>
    <w:rsid w:val="00A65D86"/>
    <w:rsid w:val="00B67ED8"/>
    <w:rsid w:val="00D252DE"/>
    <w:rsid w:val="00D31A0E"/>
    <w:rsid w:val="00EC6C4B"/>
    <w:rsid w:val="00F56AB8"/>
    <w:rsid w:val="00F800F8"/>
    <w:rsid w:val="00FD2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C8A368"/>
  <w15:chartTrackingRefBased/>
  <w15:docId w15:val="{47C6BBC2-6835-48BB-B759-BA3E612AF6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EastAsia" w:hAnsi="TH SarabunPSK" w:cs="TH SarabunPSK"/>
        <w:sz w:val="32"/>
        <w:szCs w:val="32"/>
        <w:lang w:val="en-US" w:eastAsia="ja-JP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65D8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65D8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65D86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65D86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szCs w:val="4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65D86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  <w:szCs w:val="4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65D86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Cs w:val="4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65D86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:szCs w:val="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65D86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Cs w:val="4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65D86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  <w:szCs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65D86"/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65D86"/>
    <w:rPr>
      <w:rFonts w:asciiTheme="majorHAnsi" w:eastAsiaTheme="majorEastAsia" w:hAnsiTheme="majorHAnsi" w:cstheme="majorBidi"/>
      <w:color w:val="2F5496" w:themeColor="accent1" w:themeShade="BF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65D86"/>
    <w:rPr>
      <w:rFonts w:asciiTheme="minorHAnsi" w:eastAsiaTheme="majorEastAsia" w:hAnsiTheme="minorHAnsi" w:cstheme="majorBidi"/>
      <w:color w:val="2F5496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65D86"/>
    <w:rPr>
      <w:rFonts w:asciiTheme="minorHAnsi" w:eastAsiaTheme="majorEastAsia" w:hAnsiTheme="minorHAnsi" w:cstheme="majorBidi"/>
      <w:i/>
      <w:iCs/>
      <w:color w:val="2F5496" w:themeColor="accent1" w:themeShade="BF"/>
      <w:szCs w:val="4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65D86"/>
    <w:rPr>
      <w:rFonts w:asciiTheme="minorHAnsi" w:eastAsiaTheme="majorEastAsia" w:hAnsiTheme="minorHAnsi" w:cstheme="majorBidi"/>
      <w:color w:val="2F5496" w:themeColor="accent1" w:themeShade="BF"/>
      <w:szCs w:val="4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65D86"/>
    <w:rPr>
      <w:rFonts w:asciiTheme="minorHAnsi" w:eastAsiaTheme="majorEastAsia" w:hAnsiTheme="minorHAnsi" w:cstheme="majorBidi"/>
      <w:i/>
      <w:iCs/>
      <w:color w:val="595959" w:themeColor="text1" w:themeTint="A6"/>
      <w:szCs w:val="4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65D86"/>
    <w:rPr>
      <w:rFonts w:asciiTheme="minorHAnsi" w:eastAsiaTheme="majorEastAsia" w:hAnsiTheme="minorHAnsi" w:cstheme="majorBidi"/>
      <w:color w:val="595959" w:themeColor="text1" w:themeTint="A6"/>
      <w:szCs w:val="4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65D86"/>
    <w:rPr>
      <w:rFonts w:asciiTheme="minorHAnsi" w:eastAsiaTheme="majorEastAsia" w:hAnsiTheme="minorHAnsi" w:cstheme="majorBidi"/>
      <w:i/>
      <w:iCs/>
      <w:color w:val="272727" w:themeColor="text1" w:themeTint="D8"/>
      <w:szCs w:val="4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65D86"/>
    <w:rPr>
      <w:rFonts w:asciiTheme="minorHAnsi" w:eastAsiaTheme="majorEastAsia" w:hAnsiTheme="minorHAnsi" w:cstheme="majorBidi"/>
      <w:color w:val="272727" w:themeColor="text1" w:themeTint="D8"/>
      <w:szCs w:val="40"/>
    </w:rPr>
  </w:style>
  <w:style w:type="paragraph" w:styleId="Title">
    <w:name w:val="Title"/>
    <w:basedOn w:val="Normal"/>
    <w:next w:val="Normal"/>
    <w:link w:val="TitleChar"/>
    <w:uiPriority w:val="10"/>
    <w:qFormat/>
    <w:rsid w:val="00A65D8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A65D86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A65D86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A65D86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A65D86"/>
    <w:pPr>
      <w:spacing w:before="160"/>
      <w:jc w:val="center"/>
    </w:pPr>
    <w:rPr>
      <w:rFonts w:cs="Angsana New"/>
      <w:i/>
      <w:iCs/>
      <w:color w:val="404040" w:themeColor="text1" w:themeTint="BF"/>
      <w:szCs w:val="40"/>
    </w:rPr>
  </w:style>
  <w:style w:type="character" w:customStyle="1" w:styleId="QuoteChar">
    <w:name w:val="Quote Char"/>
    <w:basedOn w:val="DefaultParagraphFont"/>
    <w:link w:val="Quote"/>
    <w:uiPriority w:val="29"/>
    <w:rsid w:val="00A65D86"/>
    <w:rPr>
      <w:rFonts w:cs="Angsana New"/>
      <w:i/>
      <w:iCs/>
      <w:color w:val="404040" w:themeColor="text1" w:themeTint="BF"/>
      <w:szCs w:val="40"/>
    </w:rPr>
  </w:style>
  <w:style w:type="paragraph" w:styleId="ListParagraph">
    <w:name w:val="List Paragraph"/>
    <w:basedOn w:val="Normal"/>
    <w:uiPriority w:val="34"/>
    <w:qFormat/>
    <w:rsid w:val="00A65D86"/>
    <w:pPr>
      <w:ind w:left="720"/>
      <w:contextualSpacing/>
    </w:pPr>
    <w:rPr>
      <w:rFonts w:cs="Angsana New"/>
      <w:szCs w:val="40"/>
    </w:rPr>
  </w:style>
  <w:style w:type="character" w:styleId="IntenseEmphasis">
    <w:name w:val="Intense Emphasis"/>
    <w:basedOn w:val="DefaultParagraphFont"/>
    <w:uiPriority w:val="21"/>
    <w:qFormat/>
    <w:rsid w:val="00A65D86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65D8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2F5496" w:themeColor="accent1" w:themeShade="BF"/>
      <w:szCs w:val="4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65D86"/>
    <w:rPr>
      <w:rFonts w:cs="Angsana New"/>
      <w:i/>
      <w:iCs/>
      <w:color w:val="2F5496" w:themeColor="accent1" w:themeShade="BF"/>
      <w:szCs w:val="40"/>
    </w:rPr>
  </w:style>
  <w:style w:type="character" w:styleId="IntenseReference">
    <w:name w:val="Intense Reference"/>
    <w:basedOn w:val="DefaultParagraphFont"/>
    <w:uiPriority w:val="32"/>
    <w:qFormat/>
    <w:rsid w:val="00A65D8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239</Words>
  <Characters>1363</Characters>
  <Application>Microsoft Office Word</Application>
  <DocSecurity>0</DocSecurity>
  <Lines>11</Lines>
  <Paragraphs>3</Paragraphs>
  <ScaleCrop>false</ScaleCrop>
  <Company/>
  <LinksUpToDate>false</LinksUpToDate>
  <CharactersWithSpaces>1599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Poovong Posai</dc:creator>
  <cp:keywords/>
  <dc:description/>
  <cp:lastModifiedBy>Poovong Posai</cp:lastModifiedBy>
  <cp:revision>1</cp:revision>
  <dcterms:created xsi:type="dcterms:W3CDTF">2025-07-30T05:59:00Z</dcterms:created>
  <dcterms:modified xsi:type="dcterms:W3CDTF">2025-07-30T05:59:00Z</dcterms:modified>
</cp:coreProperties>
</file>