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E07F2" w14:textId="77777777" w:rsidR="002E137F" w:rsidRDefault="002E137F" w:rsidP="002E137F">
      <w:r>
        <w:rPr>
          <w:cs/>
        </w:rPr>
        <w:t>ลำดับที่ 000619</w:t>
      </w:r>
    </w:p>
    <w:p w14:paraId="36562A1D" w14:textId="5EA528DC" w:rsidR="002E137F" w:rsidRDefault="002E137F" w:rsidP="002E137F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การนับอายุความในความผิดตามประมวลกฎหมายอาญา มาตรา 157 ก่อนศาลประทับฟ้อง</w:t>
      </w:r>
    </w:p>
    <w:p w14:paraId="229A5924" w14:textId="77777777" w:rsidR="002E137F" w:rsidRDefault="002E137F" w:rsidP="002E137F">
      <w:r>
        <w:rPr>
          <w:cs/>
        </w:rPr>
        <w:t>วิเคราะห์ฎีกาที่ 353/2556</w:t>
      </w:r>
    </w:p>
    <w:p w14:paraId="165A7786" w14:textId="77777777" w:rsidR="002E137F" w:rsidRDefault="002E137F" w:rsidP="002E137F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7A8010F" w14:textId="77777777" w:rsidR="002E137F" w:rsidRDefault="002E137F" w:rsidP="002E137F"/>
    <w:p w14:paraId="733D6AD2" w14:textId="77777777" w:rsidR="002E137F" w:rsidRDefault="002E137F" w:rsidP="002E137F">
      <w:r>
        <w:rPr>
          <w:cs/>
        </w:rPr>
        <w:t>กฎหมายเกี่ยวกับอะไร</w:t>
      </w:r>
    </w:p>
    <w:p w14:paraId="1637FA58" w14:textId="77777777" w:rsidR="002E137F" w:rsidRDefault="002E137F" w:rsidP="002E137F">
      <w:r>
        <w:rPr>
          <w:cs/>
        </w:rPr>
        <w:t>ประมวลกฎหมายอาญา มาตรา 157 ว่าด้วยเจ้าพนักงานปฏิบัติหน้าที่โดยมิชอบ</w:t>
      </w:r>
    </w:p>
    <w:p w14:paraId="7C8BC5C7" w14:textId="77777777" w:rsidR="002E137F" w:rsidRDefault="002E137F" w:rsidP="002E137F">
      <w:r>
        <w:rPr>
          <w:cs/>
        </w:rPr>
        <w:t>ประมวลกฎหมายอาญา มาตรา 95 ว่าด้วยอายุความการฟ้องคดีอาญา</w:t>
      </w:r>
    </w:p>
    <w:p w14:paraId="192F4BE5" w14:textId="77777777" w:rsidR="002E137F" w:rsidRDefault="002E137F" w:rsidP="002E137F">
      <w:r>
        <w:rPr>
          <w:cs/>
        </w:rPr>
        <w:t>พระราชบัญญัติประกอบรัฐธรรมนูญว่าด้วยการป้องกันและปราบปรามการทุจริต พ.ศ. 2542 มาตรา 97</w:t>
      </w:r>
    </w:p>
    <w:p w14:paraId="467F598C" w14:textId="77777777" w:rsidR="002E137F" w:rsidRDefault="002E137F" w:rsidP="002E137F"/>
    <w:p w14:paraId="1E9B2308" w14:textId="77777777" w:rsidR="002E137F" w:rsidRDefault="002E137F" w:rsidP="002E137F">
      <w:r>
        <w:rPr>
          <w:cs/>
        </w:rPr>
        <w:t>วิเคราะห์คำพิพากษาฎีกาที่ 353/2556</w:t>
      </w:r>
    </w:p>
    <w:p w14:paraId="409BB536" w14:textId="77777777" w:rsidR="002E137F" w:rsidRDefault="002E137F" w:rsidP="002E137F">
      <w:r>
        <w:rPr>
          <w:cs/>
        </w:rPr>
        <w:t>ข้อเท็จจริง</w:t>
      </w:r>
    </w:p>
    <w:p w14:paraId="3083A126" w14:textId="77777777" w:rsidR="002E137F" w:rsidRDefault="002E137F" w:rsidP="002E137F">
      <w:r>
        <w:rPr>
          <w:cs/>
        </w:rPr>
        <w:t>จำเลยทั้งสองถูกกล่าวหาว่าร่วมกันกระทำความผิดตามประมวลกฎหมายอาญา มาตรา 157 ระหว่างวันที่ 24 ตุลาคม 2537 ถึง 16 พฤศจิกายน 2537</w:t>
      </w:r>
    </w:p>
    <w:p w14:paraId="44CA020D" w14:textId="77777777" w:rsidR="002E137F" w:rsidRDefault="002E137F" w:rsidP="002E137F">
      <w:r>
        <w:rPr>
          <w:cs/>
        </w:rPr>
        <w:t>โจทก์ได้ยื่นฟ้องคดีต่อศาลเมื่อวันที่ 27 ตุลาคม 2552 ซึ่งยังอยู่ภายในระยะเวลา 15 ปีตามอายุความของมาตรา 95 (2)</w:t>
      </w:r>
    </w:p>
    <w:p w14:paraId="14BD7EFF" w14:textId="77777777" w:rsidR="002E137F" w:rsidRDefault="002E137F" w:rsidP="002E137F">
      <w:r>
        <w:rPr>
          <w:cs/>
        </w:rPr>
        <w:t>แต่ในวันที่ศาลทำการไต่สวนมูลฟ้อง คือวันที่ 18 มกราคม 2553 ได้พ้นระยะเวลา 15 ปีนับแต่วันกระทำความผิด</w:t>
      </w:r>
    </w:p>
    <w:p w14:paraId="44BDC10C" w14:textId="77777777" w:rsidR="002E137F" w:rsidRDefault="002E137F" w:rsidP="002E137F">
      <w:r>
        <w:rPr>
          <w:cs/>
        </w:rPr>
        <w:t>และจำเลยทั้งสองยังไม่ได้อยู่ในอำนาจของศาลในชั้นไต่สวนมูลฟ้องนั้น</w:t>
      </w:r>
    </w:p>
    <w:p w14:paraId="3EA3BCFB" w14:textId="77777777" w:rsidR="002E137F" w:rsidRDefault="002E137F" w:rsidP="002E137F"/>
    <w:p w14:paraId="2A95B7EF" w14:textId="77777777" w:rsidR="002E137F" w:rsidRDefault="002E137F" w:rsidP="002E137F">
      <w:r>
        <w:rPr>
          <w:cs/>
        </w:rPr>
        <w:t>ข้อกฎหมายและดุลพินิจของศาล</w:t>
      </w:r>
    </w:p>
    <w:p w14:paraId="4CBE21FE" w14:textId="77777777" w:rsidR="002E137F" w:rsidRDefault="002E137F" w:rsidP="002E137F">
      <w:r>
        <w:rPr>
          <w:cs/>
        </w:rPr>
        <w:t>ศาลวินิจฉัยว่า</w:t>
      </w:r>
    </w:p>
    <w:p w14:paraId="352AE2C5" w14:textId="77777777" w:rsidR="002E137F" w:rsidRDefault="002E137F" w:rsidP="002E137F">
      <w:r>
        <w:rPr>
          <w:cs/>
        </w:rPr>
        <w:lastRenderedPageBreak/>
        <w:t xml:space="preserve"> • การนับอายุความตามประมวลกฎหมายอาญา มาตรา 95 (2) ต้องดูว่า “โจทก์ได้ฟ้องและได้ตัวผู้กระทำผิดมายังศาล” ภายในกำหนด</w:t>
      </w:r>
    </w:p>
    <w:p w14:paraId="494A5CB5" w14:textId="77777777" w:rsidR="002E137F" w:rsidRDefault="002E137F" w:rsidP="002E137F">
      <w:r>
        <w:rPr>
          <w:cs/>
        </w:rPr>
        <w:t xml:space="preserve"> • แต่ในชั้นไต่สวนมูลฟ้อง หากศาลยังไม่ประทับรับฟ้อง จำเลยยังไม่อยู่ในอำนาจศาล จึงไม่ถือว่าโจทก์ได้ตัวผู้กระทำผิดมาศาล</w:t>
      </w:r>
    </w:p>
    <w:p w14:paraId="44D36DFC" w14:textId="77777777" w:rsidR="002E137F" w:rsidRDefault="002E137F" w:rsidP="002E137F">
      <w:r>
        <w:rPr>
          <w:cs/>
        </w:rPr>
        <w:t xml:space="preserve"> • การที่จำเลยมาศาลเพื่อฟังการไต่สวนมูลฟ้อง ไม่ถือว่าอยู่ในอำนาจศาลเช่นกัน</w:t>
      </w:r>
    </w:p>
    <w:p w14:paraId="7E2F3B67" w14:textId="77777777" w:rsidR="002E137F" w:rsidRDefault="002E137F" w:rsidP="002E137F">
      <w:r>
        <w:rPr>
          <w:cs/>
        </w:rPr>
        <w:t xml:space="preserve"> • การแจ้งวันนัดไต่สวนมูลฟ้องแก่จำเลย เป็นเพียงการแจ้ง ไม่ใช่การเรียกให้มาศาลตามกฎหมาย</w:t>
      </w:r>
    </w:p>
    <w:p w14:paraId="7506DCF8" w14:textId="77777777" w:rsidR="002E137F" w:rsidRDefault="002E137F" w:rsidP="002E137F">
      <w:r>
        <w:rPr>
          <w:cs/>
        </w:rPr>
        <w:t xml:space="preserve"> • บทบัญญัติเรื่องอายุความทางแพ่งไม่อาจนำมาใช้บังคับในคดีอาญาได้ เพราะ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95 บัญญัติไว้อย่างชัดเจน</w:t>
      </w:r>
    </w:p>
    <w:p w14:paraId="23580E5B" w14:textId="77777777" w:rsidR="002E137F" w:rsidRDefault="002E137F" w:rsidP="002E137F">
      <w:r>
        <w:rPr>
          <w:cs/>
        </w:rPr>
        <w:t xml:space="preserve"> • ตาม พ.ร.บ.ป.ป.ช. มาตรา 97 วรรคสอง เมื่อผู้ฟ้องไม่ใช่อัยการสูงสุดหรือประธาน ป.ป.ช. ศาลจึงยังต้องไต่สวนมูลฟ้องก่อน ไม่สามารถประทับฟ้องได้โดยไม่ไต่สวน</w:t>
      </w:r>
    </w:p>
    <w:p w14:paraId="042B8112" w14:textId="77777777" w:rsidR="002E137F" w:rsidRDefault="002E137F" w:rsidP="002E137F">
      <w:r>
        <w:rPr>
          <w:cs/>
        </w:rPr>
        <w:t xml:space="preserve"> • แม้เป็นความผิดหลายบท แต่การวินิจฉัยเรื่องอายุความ ต้องพิจารณาตามฐานความผิดแต่ละบท แยกกัน ไม่ถือเอาโทษที่หนักที่สุดเป็นเกณฑ์รวม</w:t>
      </w:r>
    </w:p>
    <w:p w14:paraId="14033202" w14:textId="77777777" w:rsidR="002E137F" w:rsidRDefault="002E137F" w:rsidP="002E137F"/>
    <w:p w14:paraId="59A23F7B" w14:textId="77777777" w:rsidR="002E137F" w:rsidRDefault="002E137F" w:rsidP="002E137F">
      <w:r>
        <w:rPr>
          <w:cs/>
        </w:rPr>
        <w:t>สรุปคำพิพากษา</w:t>
      </w:r>
    </w:p>
    <w:p w14:paraId="406A39D6" w14:textId="77777777" w:rsidR="002E137F" w:rsidRDefault="002E137F" w:rsidP="002E137F">
      <w:r>
        <w:rPr>
          <w:cs/>
        </w:rPr>
        <w:t>แม้โจทก์จะยื่นฟ้องภายใน 15 ปีนับแต่วันกระทำความผิด แต่เมื่อศาลยังไม่ได้ประทับรับฟ้องและจำเลยยังไม่อยู่ในอำนาจศาลในวันไต่สวนมูลฟ้อง อายุความก็ยังคงเดินต่อไป</w:t>
      </w:r>
    </w:p>
    <w:p w14:paraId="46398CA6" w14:textId="77777777" w:rsidR="002E137F" w:rsidRDefault="002E137F" w:rsidP="002E137F">
      <w:r>
        <w:rPr>
          <w:cs/>
        </w:rPr>
        <w:t>เมื่อถึงวันไต่สวนมูลฟ้องได้พ้นระยะเวลา 15 ปีแล้ว คดีจึงขาดอายุความ</w:t>
      </w:r>
    </w:p>
    <w:p w14:paraId="28D5A834" w14:textId="77777777" w:rsidR="002E137F" w:rsidRDefault="002E137F" w:rsidP="002E137F">
      <w:r>
        <w:rPr>
          <w:cs/>
        </w:rPr>
        <w:t>ไม่สามารถถือว่าโจทก์ฟ้องและได้ตัวผู้กระทำผิดมายังศาลภายในเวลาที่กฎหมายกำหนดได้</w:t>
      </w:r>
    </w:p>
    <w:p w14:paraId="27A29BF3" w14:textId="77777777" w:rsidR="002E137F" w:rsidRDefault="002E137F" w:rsidP="002E137F">
      <w:r>
        <w:rPr>
          <w:cs/>
        </w:rPr>
        <w:t>ศาลจึงมีคำพิพากษาให้ยกฟ้องเพราะขาดอายุความในความผิดตามมาตรา 157</w:t>
      </w:r>
    </w:p>
    <w:p w14:paraId="24457094" w14:textId="77777777" w:rsidR="002E137F" w:rsidRDefault="002E137F" w:rsidP="002E137F"/>
    <w:p w14:paraId="16FC9331" w14:textId="77777777" w:rsidR="002E137F" w:rsidRDefault="002E137F" w:rsidP="002E137F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72A785D4" w14:textId="77777777" w:rsidR="002E137F" w:rsidRDefault="002E137F" w:rsidP="002E137F">
      <w:r>
        <w:rPr>
          <w:cs/>
        </w:rPr>
        <w:t>ทุกปัญหามีทางออก</w:t>
      </w:r>
    </w:p>
    <w:p w14:paraId="7B193D41" w14:textId="1FC61DB7" w:rsidR="004877B1" w:rsidRDefault="002E137F" w:rsidP="002E137F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37F"/>
    <w:rsid w:val="00023843"/>
    <w:rsid w:val="000933EF"/>
    <w:rsid w:val="002E137F"/>
    <w:rsid w:val="003800EB"/>
    <w:rsid w:val="003D281C"/>
    <w:rsid w:val="004877B1"/>
    <w:rsid w:val="00521EB5"/>
    <w:rsid w:val="005255C9"/>
    <w:rsid w:val="00547ACE"/>
    <w:rsid w:val="005D1B23"/>
    <w:rsid w:val="0073572E"/>
    <w:rsid w:val="00934C0A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A04A8"/>
  <w15:chartTrackingRefBased/>
  <w15:docId w15:val="{3A6BE58A-E7EF-4E1F-910A-277DE48F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1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1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13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13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13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137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137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137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137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37F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137F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137F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137F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137F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137F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137F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137F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137F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2E13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E137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137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E137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E137F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2E137F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2E137F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2E13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13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137F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2E13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2025-07-30T06:08:00Z</dcterms:created>
  <dcterms:modified xsi:type="dcterms:W3CDTF">2025-07-30T06:09:00Z</dcterms:modified>
</cp:coreProperties>
</file>