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932D" w14:textId="77777777" w:rsidR="00E25A3E" w:rsidRDefault="00E25A3E" w:rsidP="00E25A3E">
      <w:r>
        <w:rPr>
          <w:cs/>
        </w:rPr>
        <w:t>ลำดับที่ 0005</w:t>
      </w:r>
    </w:p>
    <w:p w14:paraId="4C350601" w14:textId="77777777" w:rsidR="00E25A3E" w:rsidRDefault="00E25A3E" w:rsidP="00E25A3E">
      <w:r>
        <w:rPr>
          <w:cs/>
        </w:rPr>
        <w:t>หัวข้อเรื่อง การบอกเลิกสัญญาจ้างเหมาก่อสร้างและการเรียกค่าสินไหมทดแทน</w:t>
      </w:r>
    </w:p>
    <w:p w14:paraId="29343A58" w14:textId="77777777" w:rsidR="00E25A3E" w:rsidRDefault="00E25A3E" w:rsidP="00E25A3E">
      <w:r>
        <w:rPr>
          <w:cs/>
        </w:rPr>
        <w:t>วิเคราะห์ฎีกาที่ 3352/2542</w:t>
      </w:r>
    </w:p>
    <w:p w14:paraId="53AEFD9C" w14:textId="64913C72" w:rsidR="00E25A3E" w:rsidRDefault="00E25A3E" w:rsidP="00E25A3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  <w:r>
        <w:br/>
      </w:r>
    </w:p>
    <w:p w14:paraId="7B4439FC" w14:textId="77777777" w:rsidR="00E25A3E" w:rsidRDefault="00E25A3E" w:rsidP="00E25A3E">
      <w:r>
        <w:rPr>
          <w:cs/>
        </w:rPr>
        <w:t>กฎหมายเกี่ยวกับอะไร</w:t>
      </w:r>
    </w:p>
    <w:p w14:paraId="03718378" w14:textId="77777777" w:rsidR="00E25A3E" w:rsidRDefault="00E25A3E" w:rsidP="00E25A3E">
      <w:r>
        <w:rPr>
          <w:cs/>
        </w:rPr>
        <w:t>– ประมวลกฎหมายแพ่งและพาณิชย์ บรรพ 3 ลักษณะสัญญาเรื่องจ้างทำของ (มาตรา 587 เป็นต้นไป)</w:t>
      </w:r>
    </w:p>
    <w:p w14:paraId="34CD3D14" w14:textId="77777777" w:rsidR="00E25A3E" w:rsidRDefault="00E25A3E" w:rsidP="00E25A3E">
      <w:r>
        <w:rPr>
          <w:cs/>
        </w:rPr>
        <w:t>– มาตรา 381 และ 383 ว่าด้วยการลดเบี้ยปรับโดยศาล</w:t>
      </w:r>
    </w:p>
    <w:p w14:paraId="40AD01BB" w14:textId="77777777" w:rsidR="00E25A3E" w:rsidRDefault="00E25A3E" w:rsidP="00E25A3E">
      <w:r>
        <w:rPr>
          <w:cs/>
        </w:rPr>
        <w:t>– มาตรา 193/30 และ 193/34 (17) ว่าด้วยอายุความ</w:t>
      </w:r>
    </w:p>
    <w:p w14:paraId="48283820" w14:textId="77777777" w:rsidR="00E25A3E" w:rsidRDefault="00E25A3E" w:rsidP="00E25A3E"/>
    <w:p w14:paraId="49FE119F" w14:textId="77777777" w:rsidR="00E25A3E" w:rsidRDefault="00E25A3E" w:rsidP="00E25A3E">
      <w:r>
        <w:rPr>
          <w:cs/>
        </w:rPr>
        <w:t>วิเคราะห์คำพิพากษาฎีกาเลขที่ 3352/2542</w:t>
      </w:r>
    </w:p>
    <w:p w14:paraId="32F6CD1D" w14:textId="77777777" w:rsidR="00E25A3E" w:rsidRDefault="00E25A3E" w:rsidP="00E25A3E"/>
    <w:p w14:paraId="4127AEE5" w14:textId="77777777" w:rsidR="00E25A3E" w:rsidRDefault="00E25A3E" w:rsidP="00E25A3E">
      <w:r>
        <w:rPr>
          <w:cs/>
        </w:rPr>
        <w:t>ข้อเท็จจริง</w:t>
      </w:r>
    </w:p>
    <w:p w14:paraId="2A6D6D78" w14:textId="77777777" w:rsidR="00E25A3E" w:rsidRDefault="00E25A3E" w:rsidP="00E25A3E">
      <w:r>
        <w:rPr>
          <w:cs/>
        </w:rPr>
        <w:t>โจทก์ทำสัญญาว่าจ้างจำเลยที่ 1 ให้ก่อสร้างอาคารเรียนในราคา 1,036,000 บาท โดยแบ่งจ่าย 3 งวด กำหนดแล้วเสร็จวันที่ 20 มกราคม 2533 ต่อมาอนุมัติให้ขยายเวลาเนื่องจากเหตุขาดแคลนวัสดุก่อสร้าง แต่จำเลยไม่ดำเนินการก่อสร้างต่อหลังจากส่งมอบงานงวดที่ 1 โจทก์จึงบอกเลิกสัญญาเมื่อ 26 ธันวาคม 2534 และทำสัญญาใหม่กับผู้รับเหมาอื่นในราคาสูงขึ้น พร้อมทั้งริบหลักประกันของจำเลย</w:t>
      </w:r>
    </w:p>
    <w:p w14:paraId="430D6C1C" w14:textId="77777777" w:rsidR="00E25A3E" w:rsidRDefault="00E25A3E" w:rsidP="00E25A3E"/>
    <w:p w14:paraId="74F94E01" w14:textId="77777777" w:rsidR="00E25A3E" w:rsidRDefault="00E25A3E" w:rsidP="00E25A3E">
      <w:r>
        <w:rPr>
          <w:cs/>
        </w:rPr>
        <w:t>ข้อกฎหมายและดุลพินิจของศาล</w:t>
      </w:r>
    </w:p>
    <w:p w14:paraId="1B32626B" w14:textId="77777777" w:rsidR="00E25A3E" w:rsidRDefault="00E25A3E" w:rsidP="00E25A3E">
      <w:r>
        <w:rPr>
          <w:cs/>
        </w:rPr>
        <w:t xml:space="preserve"> 1. อายุความ</w:t>
      </w:r>
    </w:p>
    <w:p w14:paraId="76F665A1" w14:textId="77777777" w:rsidR="00E25A3E" w:rsidRDefault="00E25A3E" w:rsidP="00E25A3E">
      <w:r>
        <w:rPr>
          <w:cs/>
        </w:rPr>
        <w:t>ศาลฎีกาวินิจฉัยว่าการฟ้องคดีนี้ไม่ใช่การเรียกคืนเงินทดรอง แต่เป็นการใช้สิทธิตามสัญญาโดยโจทก์ซึ่งไม่มีบทบัญญัติเฉพาะกำหนดอายุความไว้ ใช้อายุความ 10 ปีตามมาตรา 193/30 ดังนั้น การฟ้องเมื่อวันที่ 26 กันยายน 2537 ยังไม่ขาดอายุความ</w:t>
      </w:r>
    </w:p>
    <w:p w14:paraId="65A5CB9F" w14:textId="77777777" w:rsidR="00E25A3E" w:rsidRDefault="00E25A3E" w:rsidP="00E25A3E">
      <w:r>
        <w:rPr>
          <w:cs/>
        </w:rPr>
        <w:t xml:space="preserve"> 2. ค่าก่อสร้างที่เพิ่มขึ้นจากการจ้างผู้รับเหมารายใหม่</w:t>
      </w:r>
    </w:p>
    <w:p w14:paraId="24816F9A" w14:textId="77777777" w:rsidR="00E25A3E" w:rsidRDefault="00E25A3E" w:rsidP="00E25A3E">
      <w:r>
        <w:rPr>
          <w:cs/>
        </w:rPr>
        <w:lastRenderedPageBreak/>
        <w:t>ศาลเห็นว่าแม้ราคาจ้างผู้รับเหมารายใหม่จะสูงกว่าราคาตามสัญญาเดิม แต่เป็นเพราะสถานการณ์ขณะนั้นต้องเร่งสร้างอาคารเรียนและภาวะวัสดุขาดแคลน จึงมีเหตุสมควรที่ราคาจะสูงขึ้น ถือว่าเป็นราคาที่เหมาะสม ไม่ใช่ราคาตามอำเภอใจ</w:t>
      </w:r>
    </w:p>
    <w:p w14:paraId="14A31C72" w14:textId="77777777" w:rsidR="00E25A3E" w:rsidRDefault="00E25A3E" w:rsidP="00E25A3E">
      <w:r>
        <w:rPr>
          <w:cs/>
        </w:rPr>
        <w:t xml:space="preserve"> 3. ค่าปรับรายวันตามสัญญา</w:t>
      </w:r>
    </w:p>
    <w:p w14:paraId="50870F6A" w14:textId="77777777" w:rsidR="00E25A3E" w:rsidRDefault="00E25A3E" w:rsidP="00E25A3E">
      <w:r>
        <w:rPr>
          <w:cs/>
        </w:rPr>
        <w:t>โจทก์มีสิทธิเลือกใช้ทั้งการเรียกค่าปรับรายวันและการบอกเลิกสัญญา โดยได้แสดงเจตนาใช้สิทธิค่าปรับแล้ว แต่ศาลเห็นว่าเมื่อพิจารณาค่าจ้างที่เพิ่มขึ้นจากการจ้างใหม่ซึ่งเกือบเท่าตัวของงวดที่เหลือ และมีความล่าช้าในการดำเนินการจากฝ่ายโจทก์เองด้วย ศาลจึงเห็นว่าไม่มีเหตุสมควรจะให้ค่าปรับรายวันเพิ่มเติมอีก</w:t>
      </w:r>
    </w:p>
    <w:p w14:paraId="686732B7" w14:textId="77777777" w:rsidR="00E25A3E" w:rsidRDefault="00E25A3E" w:rsidP="00E25A3E">
      <w:r>
        <w:rPr>
          <w:cs/>
        </w:rPr>
        <w:t xml:space="preserve"> 4. การหักเงินจากหลักประกันสัญญา</w:t>
      </w:r>
    </w:p>
    <w:p w14:paraId="5A11952F" w14:textId="77777777" w:rsidR="00E25A3E" w:rsidRDefault="00E25A3E" w:rsidP="00E25A3E">
      <w:r>
        <w:rPr>
          <w:cs/>
        </w:rPr>
        <w:t>เงินที่ได้จากการริบหลักประกันตามหนังสือค้ำประกันธนาคารถือเป็นส่วนหนึ่งของค่าเสียหายที่จำเลยต้องชดใช้ ศาลให้หักออกจากยอดค่าเสียหายทั้งหมด</w:t>
      </w:r>
    </w:p>
    <w:p w14:paraId="6F950BD4" w14:textId="77777777" w:rsidR="00E25A3E" w:rsidRDefault="00E25A3E" w:rsidP="00E25A3E"/>
    <w:p w14:paraId="43F3C977" w14:textId="77777777" w:rsidR="00E25A3E" w:rsidRDefault="00E25A3E" w:rsidP="00E25A3E">
      <w:r>
        <w:rPr>
          <w:cs/>
        </w:rPr>
        <w:t>สรุปคำพิพากษา</w:t>
      </w:r>
    </w:p>
    <w:p w14:paraId="7A84A109" w14:textId="77777777" w:rsidR="00E25A3E" w:rsidRDefault="00E25A3E" w:rsidP="00E25A3E">
      <w:r>
        <w:rPr>
          <w:cs/>
        </w:rPr>
        <w:t>คดีนี้ศาลวินิจฉัยว่าโจทก์มีสิทธิใช้สิทธิปรับตามสัญญาและเรียกค่าเสียหายจากการจ้างใหม่ได้ เนื่องจากจำเลยผิดสัญญา แต่เนื่องจากมีความล่าช้าจากฝ่ายโจทก์เอง และค่าก่อสร้างที่เพิ่มขึ้นมีจำนวนสูงมากอยู่แล้ว จึงไม่มีเหตุสมควรให้ค่าปรับรายวันอีก ส่วนเงินประกันที่ริบไว้ต้องนำมาหักออกจากยอดค่าเสียหาย</w:t>
      </w:r>
    </w:p>
    <w:p w14:paraId="4D22C90F" w14:textId="77777777" w:rsidR="00E25A3E" w:rsidRDefault="00E25A3E" w:rsidP="00E25A3E"/>
    <w:p w14:paraId="571185E0" w14:textId="4A8828C7" w:rsidR="002B6232" w:rsidRDefault="00E25A3E" w:rsidP="00E25A3E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A3E"/>
    <w:rsid w:val="000554F2"/>
    <w:rsid w:val="002B6232"/>
    <w:rsid w:val="005B2C22"/>
    <w:rsid w:val="00A43436"/>
    <w:rsid w:val="00E25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E9709"/>
  <w15:chartTrackingRefBased/>
  <w15:docId w15:val="{E51A4F8A-0817-4CD2-B827-2867B332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A3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A3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A3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A3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A3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A3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A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A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A3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25A3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25A3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25A3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A3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A3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25A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A3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A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2025-07-19T01:24:00Z</dcterms:created>
  <dcterms:modified xsi:type="dcterms:W3CDTF">2025-07-19T01:24:00Z</dcterms:modified>
</cp:coreProperties>
</file>