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106A5" w14:textId="77777777" w:rsidR="00360E48" w:rsidRDefault="00360E48" w:rsidP="00360E48">
      <w:r>
        <w:rPr>
          <w:cs/>
        </w:rPr>
        <w:t xml:space="preserve">ลำดับที่ </w:t>
      </w:r>
      <w:r>
        <w:t>000046</w:t>
      </w:r>
    </w:p>
    <w:p w14:paraId="2AF8CDD8" w14:textId="77777777" w:rsidR="00360E48" w:rsidRDefault="00360E48" w:rsidP="00360E48">
      <w:r>
        <w:rPr>
          <w:cs/>
        </w:rPr>
        <w:t>หัวข้อ การยื่นบัญชีระบุพยานในคดีอาญาและการตรวจพยานหลักฐาน</w:t>
      </w:r>
    </w:p>
    <w:p w14:paraId="25FDB282" w14:textId="77777777" w:rsidR="00360E48" w:rsidRDefault="00360E48" w:rsidP="00360E48"/>
    <w:p w14:paraId="10B5F34E" w14:textId="77777777" w:rsidR="00360E48" w:rsidRDefault="00360E48" w:rsidP="00360E48">
      <w:r>
        <w:rPr>
          <w:cs/>
        </w:rPr>
        <w:t xml:space="preserve">วิเคราะห์ฎีกาที่ </w:t>
      </w:r>
      <w:r>
        <w:t>10328/2555</w:t>
      </w:r>
    </w:p>
    <w:p w14:paraId="2F43B527" w14:textId="77777777" w:rsidR="00360E48" w:rsidRDefault="00360E48" w:rsidP="00360E48"/>
    <w:p w14:paraId="53896D63" w14:textId="77777777" w:rsidR="00360E48" w:rsidRDefault="00360E48" w:rsidP="00360E4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A364F19" w14:textId="77777777" w:rsidR="00360E48" w:rsidRDefault="00360E48" w:rsidP="00360E48"/>
    <w:p w14:paraId="70854DA4" w14:textId="77777777" w:rsidR="00360E48" w:rsidRDefault="00360E48" w:rsidP="00360E48">
      <w:r>
        <w:rPr>
          <w:cs/>
        </w:rPr>
        <w:t>กฎหมายเกี่ยวกับอะไร</w:t>
      </w:r>
    </w:p>
    <w:p w14:paraId="45008B6F" w14:textId="77777777" w:rsidR="00360E48" w:rsidRDefault="00360E48" w:rsidP="00360E48">
      <w:r>
        <w:rPr>
          <w:cs/>
        </w:rPr>
        <w:t xml:space="preserve">ประมวลกฎหมายวิธีพิจารณาความอาญา มาตรา </w:t>
      </w:r>
      <w:r>
        <w:t>15, 173/1, 173/2</w:t>
      </w:r>
      <w:r>
        <w:rPr>
          <w:cs/>
        </w:rPr>
        <w:t xml:space="preserve"> และ </w:t>
      </w:r>
      <w:r>
        <w:t>240</w:t>
      </w:r>
      <w:r>
        <w:rPr>
          <w:cs/>
        </w:rPr>
        <w:t xml:space="preserve"> เกี่ยวกับกระบวนการตรวจพยานหลักฐานและการยื่นบัญชีระบุพยานในคดีอาญา</w:t>
      </w:r>
    </w:p>
    <w:p w14:paraId="40F1E8BB" w14:textId="77777777" w:rsidR="00360E48" w:rsidRDefault="00360E48" w:rsidP="00360E48"/>
    <w:p w14:paraId="1B7A2BBF" w14:textId="77777777" w:rsidR="00360E48" w:rsidRDefault="00360E48" w:rsidP="00360E48">
      <w:r>
        <w:rPr>
          <w:cs/>
        </w:rPr>
        <w:t xml:space="preserve">วิเคราะห์คำพิพากษาฎีกาเลขที่ </w:t>
      </w:r>
      <w:r>
        <w:t>10328/2555</w:t>
      </w:r>
    </w:p>
    <w:p w14:paraId="38ED01BF" w14:textId="77777777" w:rsidR="00360E48" w:rsidRDefault="00360E48" w:rsidP="00360E48">
      <w:r>
        <w:rPr>
          <w:cs/>
        </w:rPr>
        <w:t>ข้อเท็จจริง</w:t>
      </w:r>
    </w:p>
    <w:p w14:paraId="7768E189" w14:textId="77777777" w:rsidR="00360E48" w:rsidRDefault="00360E48" w:rsidP="00360E48">
      <w:r>
        <w:rPr>
          <w:cs/>
        </w:rPr>
        <w:t>โจทก์ในคดีอาญาได้ยื่นบัญชีระบุพยานโดยใช้ข้อความว่า “สรรพเอกสารและวัตถุพยานของกลางในสำนวนการสอบสวนคดีนี้” ซึ่งไม่ได้ระบุชื่อเอกสารและวัตถุพยานแต่ละรายการโดยละเอียด จำเลยในคดีไม่ได้ให้การยอมรับผิด แต่เมื่อถึงวันนัดสอบคำให้การ จำเลยไม่ติดใจขอตรวจเอกสารที่โจทก์จะใช้เป็นพยานและแถลงรับข้อเท็จจริงตามเอกสารเหล่านั้น ศาลชั้นต้นจึงดำเนินการสืบพยานต่อไป</w:t>
      </w:r>
    </w:p>
    <w:p w14:paraId="0DA14D38" w14:textId="77777777" w:rsidR="00360E48" w:rsidRDefault="00360E48" w:rsidP="00360E48"/>
    <w:p w14:paraId="001C07FB" w14:textId="77777777" w:rsidR="00360E48" w:rsidRDefault="00360E48" w:rsidP="00360E48">
      <w:r>
        <w:rPr>
          <w:cs/>
        </w:rPr>
        <w:t>ข้อกฎหมายและดุลพินิจของศาล</w:t>
      </w:r>
    </w:p>
    <w:p w14:paraId="4E6AE939" w14:textId="77777777" w:rsidR="00360E48" w:rsidRDefault="00360E48" w:rsidP="00360E48">
      <w:r>
        <w:t xml:space="preserve"> • </w:t>
      </w:r>
      <w:r>
        <w:rPr>
          <w:cs/>
        </w:rPr>
        <w:t xml:space="preserve">มาตรา </w:t>
      </w:r>
      <w:r>
        <w:t>173/1</w:t>
      </w:r>
      <w:r>
        <w:rPr>
          <w:cs/>
        </w:rPr>
        <w:t xml:space="preserve"> และ </w:t>
      </w:r>
      <w:r>
        <w:t>240</w:t>
      </w:r>
      <w:r>
        <w:rPr>
          <w:cs/>
        </w:rPr>
        <w:t xml:space="preserve"> แห่ง ป.วิ.อ. กำหนดว่าในคดีอาญา ไม่จำเป็นต้องระบุเอกสารหรือวัตถุพยานแต่ละชิ้นในบัญชีระบุพยาน เพราะมีกระบวนการให้ตรวจสอบพยานหลักฐานอยู่แล้ว เพื่อให้คดีดำเนินไปอย่างรวดเร็วและเป็นธรรม</w:t>
      </w:r>
    </w:p>
    <w:p w14:paraId="7681FCA8" w14:textId="77777777" w:rsidR="00360E48" w:rsidRDefault="00360E48" w:rsidP="00360E48">
      <w:r>
        <w:t xml:space="preserve"> • </w:t>
      </w:r>
      <w:r>
        <w:rPr>
          <w:cs/>
        </w:rPr>
        <w:t xml:space="preserve">แม้ในคดีนี้ศาลชั้นต้นจะมิได้นัดตรวจพยานหลักฐานโดยเฉพาะ และโจทก์มิได้ยื่นเอกสารล่วงหน้าไม่น้อยกว่า </w:t>
      </w:r>
      <w:r>
        <w:t>15</w:t>
      </w:r>
      <w:r>
        <w:rPr>
          <w:cs/>
        </w:rPr>
        <w:t xml:space="preserve"> วันตามปกติ แต่เมื่อจำเลยไม่ติดใจตรวจสอบ ศาลจึงใช้ดุลพินิจตามมาตรา </w:t>
      </w:r>
      <w:r>
        <w:t>240</w:t>
      </w:r>
      <w:r>
        <w:rPr>
          <w:cs/>
        </w:rPr>
        <w:t xml:space="preserve"> วรรคหนึ่ง อนุญาตให้รับเอกสารไว้เป็นพยานหลักฐานได้โดยชอบ</w:t>
      </w:r>
    </w:p>
    <w:p w14:paraId="73C6B629" w14:textId="77777777" w:rsidR="00360E48" w:rsidRDefault="00360E48" w:rsidP="00360E48">
      <w:r>
        <w:lastRenderedPageBreak/>
        <w:t xml:space="preserve"> • </w:t>
      </w:r>
      <w:r>
        <w:rPr>
          <w:cs/>
        </w:rPr>
        <w:t>ศาลชี้ว่า การไม่ใช้บทบัญญัติใน ป.วิ.พ. ที่เกี่ยวกับการยื่นบัญชีระบุพยานในคดีแพ่งนั้นเหมาะสม เพราะบทบัญญัติเฉพาะในคดีอาญาได้รองรับไว้อย่างเพียงพอแล้ว</w:t>
      </w:r>
    </w:p>
    <w:p w14:paraId="294729EC" w14:textId="77777777" w:rsidR="00360E48" w:rsidRDefault="00360E48" w:rsidP="00360E48"/>
    <w:p w14:paraId="2A201349" w14:textId="77777777" w:rsidR="00360E48" w:rsidRDefault="00360E48" w:rsidP="00360E48">
      <w:r>
        <w:rPr>
          <w:cs/>
        </w:rPr>
        <w:t>สรุปคำพิพากษา</w:t>
      </w:r>
    </w:p>
    <w:p w14:paraId="2B90951D" w14:textId="77777777" w:rsidR="00360E48" w:rsidRDefault="00360E48" w:rsidP="00360E48">
      <w:r>
        <w:rPr>
          <w:cs/>
        </w:rPr>
        <w:t>ในคดีอาญา การที่โจทก์มิได้ระบุรายละเอียดเอกสารทุกฉบับในบัญชีระบุพยาน ไม่เป็นข้อบกพร่อง เพราะ ป.วิ.อ. ได้เปิดช่องให้ตรวจสอบเอกสารตามคำร้องขอ หรือคำสั่งศาลเพื่อความรวดเร็วและเป็นธรรม หากคู่ความไม่ติดใจตรวจสอบ และศาลเห็นสมควร ศาลสามารถใช้ดุลพินิจรับเอกสารเป็นพยานหลักฐานได้ โดยไม่ขัดต่อกฎหมาย</w:t>
      </w:r>
    </w:p>
    <w:p w14:paraId="64B538D9" w14:textId="77777777" w:rsidR="00360E48" w:rsidRDefault="00360E48" w:rsidP="00360E48"/>
    <w:p w14:paraId="275D33F2" w14:textId="1752C955" w:rsidR="002B6232" w:rsidRDefault="00360E48" w:rsidP="00360E4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E48"/>
    <w:rsid w:val="000554F2"/>
    <w:rsid w:val="002B6232"/>
    <w:rsid w:val="00360E48"/>
    <w:rsid w:val="00593399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BAFF2"/>
  <w15:chartTrackingRefBased/>
  <w15:docId w15:val="{1DA08E41-01EB-42B3-B0BC-DC8D86651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0E4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0E4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0E4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0E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0E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0E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0E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0E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0E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0E4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0E4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0E4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0E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0E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0E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0E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0E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0E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0E4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60E4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0E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60E4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60E4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0E4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0E4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60E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0E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0E4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0E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2025-07-20T23:04:00Z</dcterms:created>
  <dcterms:modified xsi:type="dcterms:W3CDTF">2025-07-20T23:04:00Z</dcterms:modified>
</cp:coreProperties>
</file>