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DEAD4" w14:textId="6EFB3781" w:rsidR="001971E0" w:rsidRPr="001971E0" w:rsidRDefault="001971E0" w:rsidP="001971E0">
      <w:r w:rsidRPr="001971E0">
        <w:rPr>
          <w:cs/>
        </w:rPr>
        <w:t xml:space="preserve">ลำดับที่ </w:t>
      </w:r>
      <w:r w:rsidRPr="001971E0">
        <w:t>000251</w:t>
      </w:r>
      <w:r w:rsidRPr="001971E0">
        <w:br/>
      </w:r>
      <w:r w:rsidRPr="001971E0"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 w:rsidRPr="001971E0">
        <w:rPr>
          <w:cs/>
        </w:rPr>
        <w:t>การขีดฆ่าอากรแสตมป์ในหนังสือมอบอำนาจเป็นเงื่อนไขสำคัญต่อการรับฟังเป็นพยานหลักฐานในคดีแพ่ง</w:t>
      </w:r>
    </w:p>
    <w:p w14:paraId="5436B6A8" w14:textId="77777777" w:rsidR="001971E0" w:rsidRPr="001971E0" w:rsidRDefault="001971E0" w:rsidP="001971E0">
      <w:r w:rsidRPr="001971E0">
        <w:rPr>
          <w:cs/>
        </w:rPr>
        <w:t xml:space="preserve">วิเคราะห์ฎีกาที่ </w:t>
      </w:r>
      <w:r w:rsidRPr="001971E0">
        <w:t>5013/2541</w:t>
      </w:r>
      <w:r w:rsidRPr="001971E0">
        <w:br/>
      </w:r>
      <w:r w:rsidRPr="001971E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1971E0">
        <w:t>0818034097</w:t>
      </w:r>
    </w:p>
    <w:p w14:paraId="520A3DBF" w14:textId="77777777" w:rsidR="001971E0" w:rsidRPr="001971E0" w:rsidRDefault="001971E0" w:rsidP="001971E0">
      <w:r w:rsidRPr="001971E0">
        <w:rPr>
          <w:cs/>
        </w:rPr>
        <w:t>กฎหมายเกี่ยวกับอะไร</w:t>
      </w:r>
      <w:r w:rsidRPr="001971E0">
        <w:br/>
      </w:r>
      <w:r w:rsidRPr="001971E0">
        <w:rPr>
          <w:cs/>
        </w:rPr>
        <w:t>กฎหมายภาษีอากรและกฎหมายว่าด้วยการรับฟังพยานหลักฐานในคดีแพ่ง โดยเฉพาะ</w:t>
      </w:r>
      <w:r w:rsidRPr="001971E0">
        <w:t xml:space="preserve"> </w:t>
      </w:r>
      <w:r w:rsidRPr="001971E0">
        <w:rPr>
          <w:b/>
          <w:bCs/>
          <w:cs/>
        </w:rPr>
        <w:t xml:space="preserve">ประมวลรัษฎากร มาตรา </w:t>
      </w:r>
      <w:r w:rsidRPr="001971E0">
        <w:rPr>
          <w:b/>
          <w:bCs/>
        </w:rPr>
        <w:t xml:space="preserve">103 </w:t>
      </w:r>
      <w:r w:rsidRPr="001971E0">
        <w:rPr>
          <w:b/>
          <w:bCs/>
          <w:cs/>
        </w:rPr>
        <w:t xml:space="preserve">และ </w:t>
      </w:r>
      <w:r w:rsidRPr="001971E0">
        <w:rPr>
          <w:b/>
          <w:bCs/>
        </w:rPr>
        <w:t>118</w:t>
      </w:r>
      <w:r w:rsidRPr="001971E0">
        <w:t xml:space="preserve"> </w:t>
      </w:r>
      <w:r w:rsidRPr="001971E0">
        <w:rPr>
          <w:cs/>
        </w:rPr>
        <w:t>ซึ่งว่าด้วยการปิดและขีดฆ่าอากรแสตมป์ และผลของการไม่ดำเนินการให้ถูกต้องตามกฎหมาย</w:t>
      </w:r>
    </w:p>
    <w:p w14:paraId="6DEFA5BF" w14:textId="77777777" w:rsidR="001971E0" w:rsidRPr="001971E0" w:rsidRDefault="001971E0" w:rsidP="001971E0">
      <w:r w:rsidRPr="001971E0">
        <w:rPr>
          <w:cs/>
        </w:rPr>
        <w:t xml:space="preserve">วิเคราะห์คำพิพากษาฎีกาเลขที่ </w:t>
      </w:r>
      <w:r w:rsidRPr="001971E0">
        <w:t>5013/2541</w:t>
      </w:r>
      <w:r w:rsidRPr="001971E0">
        <w:br/>
      </w:r>
      <w:r w:rsidRPr="001971E0">
        <w:rPr>
          <w:b/>
          <w:bCs/>
          <w:cs/>
        </w:rPr>
        <w:t>ข้อเท็จจริง</w:t>
      </w:r>
      <w:r w:rsidRPr="001971E0">
        <w:br/>
      </w:r>
      <w:r w:rsidRPr="001971E0">
        <w:rPr>
          <w:cs/>
        </w:rPr>
        <w:t>โจทก์ทำหนังสือมอบอำนาจให้บุคคลหนึ่งดำเนินคดีแทน โดยได้ปิดอากรแสตมป์ครบถ้วนตามบัญชีอัตราอากรแสตมป์ แต่</w:t>
      </w:r>
      <w:r w:rsidRPr="001971E0">
        <w:t xml:space="preserve"> </w:t>
      </w:r>
      <w:r w:rsidRPr="001971E0">
        <w:rPr>
          <w:b/>
          <w:bCs/>
          <w:cs/>
        </w:rPr>
        <w:t>ไม่ได้ขีดฆ่าอากรแสตมป์</w:t>
      </w:r>
      <w:r w:rsidRPr="001971E0">
        <w:t xml:space="preserve"> </w:t>
      </w:r>
      <w:r w:rsidRPr="001971E0">
        <w:rPr>
          <w:cs/>
        </w:rPr>
        <w:t>ดังกล่าวตามที่กฎหมายกำหนด</w:t>
      </w:r>
    </w:p>
    <w:p w14:paraId="1DB676AB" w14:textId="77777777" w:rsidR="001971E0" w:rsidRPr="001971E0" w:rsidRDefault="001971E0" w:rsidP="001971E0">
      <w:r w:rsidRPr="001971E0">
        <w:rPr>
          <w:b/>
          <w:bCs/>
          <w:cs/>
        </w:rPr>
        <w:t>ข้อกฎหมายและดุลพินิจของศาล</w:t>
      </w:r>
      <w:r w:rsidRPr="001971E0">
        <w:br/>
      </w:r>
      <w:r w:rsidRPr="001971E0">
        <w:rPr>
          <w:cs/>
        </w:rPr>
        <w:t>ศาลพิจารณาว่า</w:t>
      </w:r>
    </w:p>
    <w:p w14:paraId="7BF32F58" w14:textId="77777777" w:rsidR="001971E0" w:rsidRPr="001971E0" w:rsidRDefault="001971E0" w:rsidP="001971E0">
      <w:pPr>
        <w:numPr>
          <w:ilvl w:val="0"/>
          <w:numId w:val="1"/>
        </w:numPr>
      </w:pPr>
      <w:r w:rsidRPr="001971E0">
        <w:rPr>
          <w:cs/>
        </w:rPr>
        <w:t xml:space="preserve">การไม่ขีดฆ่าอากรแสตมป์ให้ถูกต้องตามประมวลรัษฎากร มาตรา </w:t>
      </w:r>
      <w:r w:rsidRPr="001971E0">
        <w:t xml:space="preserve">103 </w:t>
      </w:r>
      <w:r w:rsidRPr="001971E0">
        <w:rPr>
          <w:cs/>
        </w:rPr>
        <w:t>ถือว่า</w:t>
      </w:r>
      <w:r w:rsidRPr="001971E0">
        <w:t xml:space="preserve"> </w:t>
      </w:r>
      <w:r w:rsidRPr="001971E0">
        <w:rPr>
          <w:b/>
          <w:bCs/>
          <w:cs/>
        </w:rPr>
        <w:t>ยังไม่ปิดอากรแสตมป์บริบูรณ์</w:t>
      </w:r>
    </w:p>
    <w:p w14:paraId="3B6C5022" w14:textId="77777777" w:rsidR="001971E0" w:rsidRPr="001971E0" w:rsidRDefault="001971E0" w:rsidP="001971E0">
      <w:pPr>
        <w:numPr>
          <w:ilvl w:val="0"/>
          <w:numId w:val="1"/>
        </w:numPr>
      </w:pPr>
      <w:r w:rsidRPr="001971E0">
        <w:rPr>
          <w:cs/>
        </w:rPr>
        <w:t>หนังสือมอบอำนาจที่มิได้ขีดฆ่าอากรแสตมป์นั้น ย่อม</w:t>
      </w:r>
      <w:r w:rsidRPr="001971E0">
        <w:t xml:space="preserve"> </w:t>
      </w:r>
      <w:r w:rsidRPr="001971E0">
        <w:rPr>
          <w:b/>
          <w:bCs/>
          <w:cs/>
        </w:rPr>
        <w:t>ห้ามมิให้นำมาใช้เป็นพยานหลักฐานในคดีแพ่ง</w:t>
      </w:r>
      <w:r w:rsidRPr="001971E0">
        <w:t xml:space="preserve"> </w:t>
      </w:r>
      <w:r w:rsidRPr="001971E0">
        <w:rPr>
          <w:cs/>
        </w:rPr>
        <w:t xml:space="preserve">ตามมาตรา </w:t>
      </w:r>
      <w:r w:rsidRPr="001971E0">
        <w:t>118</w:t>
      </w:r>
    </w:p>
    <w:p w14:paraId="454B0A48" w14:textId="77777777" w:rsidR="001971E0" w:rsidRPr="001971E0" w:rsidRDefault="001971E0" w:rsidP="001971E0">
      <w:pPr>
        <w:numPr>
          <w:ilvl w:val="0"/>
          <w:numId w:val="1"/>
        </w:numPr>
      </w:pPr>
      <w:r w:rsidRPr="001971E0">
        <w:rPr>
          <w:cs/>
        </w:rPr>
        <w:t>การส่งต้นฉบับหนังสือมอบอำนาจต่อศาล ไม่ถือว่าเป็นการ “ขีดฆ่า” ตามกฎหมาย</w:t>
      </w:r>
    </w:p>
    <w:p w14:paraId="6AD65581" w14:textId="77777777" w:rsidR="001971E0" w:rsidRPr="001971E0" w:rsidRDefault="001971E0" w:rsidP="001971E0">
      <w:pPr>
        <w:numPr>
          <w:ilvl w:val="0"/>
          <w:numId w:val="1"/>
        </w:numPr>
      </w:pPr>
      <w:r w:rsidRPr="001971E0">
        <w:rPr>
          <w:cs/>
        </w:rPr>
        <w:t>แม้จำเลยมิได้คัดค้านประเด็นนี้โดยตรง แต่ศาลสามารถวินิจฉัยได้เอง เพราะเป็น</w:t>
      </w:r>
      <w:r w:rsidRPr="001971E0">
        <w:t xml:space="preserve"> </w:t>
      </w:r>
      <w:r w:rsidRPr="001971E0">
        <w:rPr>
          <w:b/>
          <w:bCs/>
          <w:cs/>
        </w:rPr>
        <w:t>ปัญหาเกี่ยวกับความสงบเรียบร้อยของประชาชน</w:t>
      </w:r>
    </w:p>
    <w:p w14:paraId="3B9B1E8A" w14:textId="77777777" w:rsidR="001971E0" w:rsidRPr="001971E0" w:rsidRDefault="001971E0" w:rsidP="001971E0">
      <w:pPr>
        <w:numPr>
          <w:ilvl w:val="0"/>
          <w:numId w:val="1"/>
        </w:numPr>
      </w:pPr>
      <w:r w:rsidRPr="001971E0">
        <w:rPr>
          <w:cs/>
        </w:rPr>
        <w:t>แม้โจทก์จะขอแก้ไขโดยการขีดฆ่าอากรแสตมป์ในภายหลัง แต่ศาลเห็นว่า</w:t>
      </w:r>
      <w:r w:rsidRPr="001971E0">
        <w:t xml:space="preserve"> </w:t>
      </w:r>
      <w:r w:rsidRPr="001971E0">
        <w:rPr>
          <w:b/>
          <w:bCs/>
          <w:cs/>
        </w:rPr>
        <w:t>เลยเวลาที่สมควรกระทำแล้ว</w:t>
      </w:r>
      <w:r w:rsidRPr="001971E0">
        <w:t xml:space="preserve"> </w:t>
      </w:r>
      <w:r w:rsidRPr="001971E0">
        <w:rPr>
          <w:cs/>
        </w:rPr>
        <w:t>จึงไม่อนุญาต</w:t>
      </w:r>
    </w:p>
    <w:p w14:paraId="48EF6488" w14:textId="77777777" w:rsidR="001971E0" w:rsidRPr="001971E0" w:rsidRDefault="001971E0" w:rsidP="001971E0">
      <w:r w:rsidRPr="001971E0">
        <w:rPr>
          <w:b/>
          <w:bCs/>
          <w:cs/>
        </w:rPr>
        <w:lastRenderedPageBreak/>
        <w:t>เหตุผลที่ศาลวินิจฉัยในคดี</w:t>
      </w:r>
      <w:r w:rsidRPr="001971E0">
        <w:br/>
      </w:r>
      <w:r w:rsidRPr="001971E0">
        <w:rPr>
          <w:cs/>
        </w:rPr>
        <w:t>เพราะกฎหมายกำหนดชัดเจนว่าตราสารที่ไม่ขีดฆ่าอากรแสตมป์ ไม่อาจรับฟังเป็นพยานหลักฐานได้ ไม่ว่าฝ่ายใดจะมีเจตนาเลี่ยงหรือไม่ และไม่ว่าคู่ความจะคัดค้านหรือไม่ ศาลมีอำนาจยกขึ้นพิจารณาเองได้</w:t>
      </w:r>
    </w:p>
    <w:p w14:paraId="22F08B6D" w14:textId="77777777" w:rsidR="001971E0" w:rsidRPr="001971E0" w:rsidRDefault="001971E0" w:rsidP="001971E0">
      <w:r w:rsidRPr="001971E0">
        <w:rPr>
          <w:cs/>
        </w:rPr>
        <w:t>สรุปคำพิพากษา</w:t>
      </w:r>
      <w:r w:rsidRPr="001971E0">
        <w:br/>
      </w:r>
      <w:r w:rsidRPr="001971E0">
        <w:rPr>
          <w:cs/>
        </w:rPr>
        <w:t>ศาลฎีกาวินิจฉัยว่า หนังสือมอบอำนาจที่มิได้ขีดฆ่าอากรแสตมป์อย่างถูกต้องตามกฎหมาย ไม่สามารถรับฟังเป็นพยานหลักฐานในคดีแพ่งได้ การที่โจทก์ยื่นเอกสารดังกล่าวและขอแก้ไขในภายหลัง จึงไม่อาจใช้เป็นเหตุให้รับฟังเอกสารนั้นได้ และศาลไม่อนุญาตให้แก้ไขย้อนหลัง</w:t>
      </w:r>
    </w:p>
    <w:p w14:paraId="01219C29" w14:textId="77777777" w:rsidR="001971E0" w:rsidRPr="001971E0" w:rsidRDefault="001971E0" w:rsidP="001971E0">
      <w:r w:rsidRPr="001971E0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1971E0">
        <w:t xml:space="preserve">081-803-4097 </w:t>
      </w:r>
      <w:r w:rsidRPr="001971E0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1971E0">
        <w:rPr>
          <w:cs/>
        </w:rPr>
        <w:t>เวป</w:t>
      </w:r>
      <w:proofErr w:type="spellEnd"/>
      <w:r w:rsidRPr="001971E0">
        <w:rPr>
          <w:cs/>
        </w:rPr>
        <w:t>ไซ</w:t>
      </w:r>
      <w:proofErr w:type="spellStart"/>
      <w:r w:rsidRPr="001971E0">
        <w:rPr>
          <w:cs/>
        </w:rPr>
        <w:t>ต์</w:t>
      </w:r>
      <w:proofErr w:type="spellEnd"/>
      <w:r w:rsidRPr="001971E0">
        <w:t xml:space="preserve"> </w:t>
      </w:r>
      <w:hyperlink r:id="rId5" w:history="1">
        <w:r w:rsidRPr="001971E0">
          <w:rPr>
            <w:rStyle w:val="Hyperlink"/>
          </w:rPr>
          <w:t>www.</w:t>
        </w:r>
        <w:r w:rsidRPr="001971E0">
          <w:rPr>
            <w:rStyle w:val="Hyperlink"/>
            <w:cs/>
          </w:rPr>
          <w:t>สู้คดี.</w:t>
        </w:r>
        <w:r w:rsidRPr="001971E0">
          <w:rPr>
            <w:rStyle w:val="Hyperlink"/>
          </w:rPr>
          <w:t>com</w:t>
        </w:r>
      </w:hyperlink>
      <w:r w:rsidRPr="001971E0">
        <w:t xml:space="preserve"> </w:t>
      </w:r>
      <w:r w:rsidRPr="001971E0">
        <w:rPr>
          <w:cs/>
        </w:rPr>
        <w:t>และ</w:t>
      </w:r>
      <w:r w:rsidRPr="001971E0">
        <w:t xml:space="preserve"> </w:t>
      </w:r>
      <w:hyperlink r:id="rId6" w:history="1">
        <w:r w:rsidRPr="001971E0">
          <w:rPr>
            <w:rStyle w:val="Hyperlink"/>
          </w:rPr>
          <w:t>www.</w:t>
        </w:r>
        <w:r w:rsidRPr="001971E0">
          <w:rPr>
            <w:rStyle w:val="Hyperlink"/>
            <w:cs/>
          </w:rPr>
          <w:t>ทนายภูวงษ์.</w:t>
        </w:r>
        <w:r w:rsidRPr="001971E0">
          <w:rPr>
            <w:rStyle w:val="Hyperlink"/>
          </w:rPr>
          <w:t>com</w:t>
        </w:r>
      </w:hyperlink>
    </w:p>
    <w:p w14:paraId="6E6D90D9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7533B2"/>
    <w:multiLevelType w:val="multilevel"/>
    <w:tmpl w:val="067E6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2542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1E0"/>
    <w:rsid w:val="000554F2"/>
    <w:rsid w:val="001971E0"/>
    <w:rsid w:val="001C2C6A"/>
    <w:rsid w:val="002B6232"/>
    <w:rsid w:val="00A43436"/>
    <w:rsid w:val="00AF4A52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16B68A"/>
  <w15:chartTrackingRefBased/>
  <w15:docId w15:val="{EDEE28B8-AAD5-4E6E-AD9D-E109F2C5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71E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71E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71E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71E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71E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71E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71E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71E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71E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1E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71E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71E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71E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71E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71E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71E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71E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71E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71E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1971E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71E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1971E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1971E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71E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71E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1971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1E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71E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971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71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2025-07-27T01:11:00Z</dcterms:created>
  <dcterms:modified xsi:type="dcterms:W3CDTF">2025-07-27T01:11:00Z</dcterms:modified>
</cp:coreProperties>
</file>