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94BDA" w14:textId="77777777" w:rsidR="00A155A1" w:rsidRPr="00A155A1" w:rsidRDefault="00A155A1" w:rsidP="00A155A1">
      <w:r w:rsidRPr="00A155A1">
        <w:rPr>
          <w:cs/>
        </w:rPr>
        <w:t xml:space="preserve">ลำดับที่ </w:t>
      </w:r>
      <w:r w:rsidRPr="00A155A1">
        <w:t>000496</w:t>
      </w:r>
      <w:r w:rsidRPr="00A155A1">
        <w:br/>
      </w:r>
      <w:r w:rsidRPr="00A155A1">
        <w:rPr>
          <w:cs/>
        </w:rPr>
        <w:t>หัวข้อเรื่อง การตีความสัญญาและข้อจำกัดในการรับฟังพยานบุคคล</w:t>
      </w:r>
    </w:p>
    <w:p w14:paraId="13EF9FEC" w14:textId="77777777" w:rsidR="00A155A1" w:rsidRPr="00A155A1" w:rsidRDefault="00A155A1" w:rsidP="00A155A1">
      <w:r w:rsidRPr="00A155A1">
        <w:rPr>
          <w:cs/>
        </w:rPr>
        <w:t xml:space="preserve">วิเคราะห์ฎีกาที่ </w:t>
      </w:r>
      <w:r w:rsidRPr="00A155A1">
        <w:t>6563/2545</w:t>
      </w:r>
      <w:r w:rsidRPr="00A155A1">
        <w:br/>
      </w:r>
      <w:r w:rsidRPr="00A155A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A155A1">
        <w:t>0818034097</w:t>
      </w:r>
    </w:p>
    <w:p w14:paraId="6AD6DD46" w14:textId="77777777" w:rsidR="00A155A1" w:rsidRPr="00A155A1" w:rsidRDefault="00A155A1" w:rsidP="00A155A1">
      <w:r w:rsidRPr="00A155A1">
        <w:rPr>
          <w:cs/>
        </w:rPr>
        <w:t>กฎหมายเกี่ยวกับอะไร</w:t>
      </w:r>
      <w:r w:rsidRPr="00A155A1">
        <w:br/>
      </w:r>
      <w:r w:rsidRPr="00A155A1">
        <w:rPr>
          <w:cs/>
        </w:rPr>
        <w:t xml:space="preserve">เกี่ยวกับการตีความนิติกรรมและข้อจำกัดในการนำพยานบุคคลเข้าสืบ ตามประมวลกฎหมายแพ่งและพาณิชย์ มาตรา </w:t>
      </w:r>
      <w:r w:rsidRPr="00A155A1">
        <w:t xml:space="preserve">171 </w:t>
      </w:r>
      <w:r w:rsidRPr="00A155A1">
        <w:rPr>
          <w:cs/>
        </w:rPr>
        <w:t xml:space="preserve">และ ประมวลกฎหมายวิธีพิจารณาความแพ่ง มาตรา </w:t>
      </w:r>
      <w:r w:rsidRPr="00A155A1">
        <w:t>94 (</w:t>
      </w:r>
      <w:r w:rsidRPr="00A155A1">
        <w:rPr>
          <w:cs/>
        </w:rPr>
        <w:t>ข)</w:t>
      </w:r>
    </w:p>
    <w:p w14:paraId="4FF3BDA4" w14:textId="77777777" w:rsidR="00A155A1" w:rsidRPr="00A155A1" w:rsidRDefault="00A155A1" w:rsidP="00A155A1">
      <w:r w:rsidRPr="00A155A1">
        <w:rPr>
          <w:cs/>
        </w:rPr>
        <w:t xml:space="preserve">วิเคราะห์คำพิพากษาฎีกาที่ </w:t>
      </w:r>
      <w:r w:rsidRPr="00A155A1">
        <w:t>6563/2545</w:t>
      </w:r>
      <w:r w:rsidRPr="00A155A1">
        <w:br/>
      </w:r>
      <w:r w:rsidRPr="00A155A1">
        <w:rPr>
          <w:b/>
          <w:bCs/>
          <w:cs/>
        </w:rPr>
        <w:t>ข้อเท็จจริง</w:t>
      </w:r>
      <w:r w:rsidRPr="00A155A1">
        <w:br/>
      </w:r>
      <w:r w:rsidRPr="00A155A1">
        <w:rPr>
          <w:cs/>
        </w:rPr>
        <w:t>คู่สัญญาทำสัญญาเป็นลายลักษณ์อักษร โดยมีข้อความในสัญญาที่ชัดเจนไม่คลุมเครือ</w:t>
      </w:r>
    </w:p>
    <w:p w14:paraId="54BF161E" w14:textId="77777777" w:rsidR="00A155A1" w:rsidRPr="00A155A1" w:rsidRDefault="00A155A1" w:rsidP="00A155A1">
      <w:r w:rsidRPr="00A155A1">
        <w:rPr>
          <w:b/>
          <w:bCs/>
          <w:cs/>
        </w:rPr>
        <w:t>ข้อกฎหมายและดุลพินิจของศาล</w:t>
      </w:r>
      <w:r w:rsidRPr="00A155A1">
        <w:br/>
      </w:r>
      <w:r w:rsidRPr="00A155A1">
        <w:rPr>
          <w:cs/>
        </w:rPr>
        <w:t>ศาลฎีกาอธิบายถึงหลักการตีความนิติกรรมตาม</w:t>
      </w:r>
      <w:r w:rsidRPr="00A155A1">
        <w:t xml:space="preserve"> </w:t>
      </w:r>
      <w:r w:rsidRPr="00A155A1">
        <w:rPr>
          <w:b/>
          <w:bCs/>
          <w:cs/>
        </w:rPr>
        <w:t xml:space="preserve">ประมวลกฎหมายแพ่งและพาณิชย์ มาตรา </w:t>
      </w:r>
      <w:r w:rsidRPr="00A155A1">
        <w:rPr>
          <w:b/>
          <w:bCs/>
        </w:rPr>
        <w:t>171</w:t>
      </w:r>
      <w:r w:rsidRPr="00A155A1">
        <w:t xml:space="preserve"> </w:t>
      </w:r>
      <w:r w:rsidRPr="00A155A1">
        <w:rPr>
          <w:cs/>
        </w:rPr>
        <w:t>ที่ให้ตีความโดยคำนึงถึงเจตนาอันแท้จริงมากกว่าถ้อยคำ หากข้อความในนิติกรรมมีลักษณะคลุมเครือหรือขัดแย้งกัน หรือมีหลายความหมายจึงต้องตีความโดยอิงเจตนา แต่</w:t>
      </w:r>
      <w:r w:rsidRPr="00A155A1">
        <w:t xml:space="preserve"> </w:t>
      </w:r>
      <w:r w:rsidRPr="00A155A1">
        <w:rPr>
          <w:b/>
          <w:bCs/>
          <w:cs/>
        </w:rPr>
        <w:t>หากข้อความในสัญญาชัดเจนแล้ว</w:t>
      </w:r>
      <w:r w:rsidRPr="00A155A1">
        <w:t xml:space="preserve"> </w:t>
      </w:r>
      <w:r w:rsidRPr="00A155A1">
        <w:rPr>
          <w:cs/>
        </w:rPr>
        <w:t>ก็ไม่ต้องตีความเจตนาเพิ่มเติม และในกรณีที่ข้อความในเอกสารชัดเจน</w:t>
      </w:r>
      <w:r w:rsidRPr="00A155A1">
        <w:t xml:space="preserve"> </w:t>
      </w:r>
      <w:r w:rsidRPr="00A155A1">
        <w:rPr>
          <w:b/>
          <w:bCs/>
          <w:cs/>
        </w:rPr>
        <w:t>ไม่สามารถนำพยานบุคคลมาสืบเจตนาแท้จริงของคู่สัญญาได้</w:t>
      </w:r>
      <w:r w:rsidRPr="00A155A1">
        <w:t xml:space="preserve"> </w:t>
      </w:r>
      <w:r w:rsidRPr="00A155A1">
        <w:rPr>
          <w:cs/>
        </w:rPr>
        <w:t>เนื่องจากข้อห้ามตาม</w:t>
      </w:r>
      <w:r w:rsidRPr="00A155A1">
        <w:t xml:space="preserve"> </w:t>
      </w:r>
      <w:r w:rsidRPr="00A155A1">
        <w:rPr>
          <w:b/>
          <w:bCs/>
          <w:cs/>
        </w:rPr>
        <w:t xml:space="preserve">ประมวลกฎหมายวิธีพิจารณาความแพ่ง มาตรา </w:t>
      </w:r>
      <w:r w:rsidRPr="00A155A1">
        <w:rPr>
          <w:b/>
          <w:bCs/>
        </w:rPr>
        <w:t>94 (</w:t>
      </w:r>
      <w:r w:rsidRPr="00A155A1">
        <w:rPr>
          <w:b/>
          <w:bCs/>
          <w:cs/>
        </w:rPr>
        <w:t>ข)</w:t>
      </w:r>
      <w:r w:rsidRPr="00A155A1">
        <w:t xml:space="preserve"> </w:t>
      </w:r>
      <w:r w:rsidRPr="00A155A1">
        <w:rPr>
          <w:cs/>
        </w:rPr>
        <w:t>ซึ่งห้ามนำพยานบุคคลมาสืบแสดงข้อความที่ขัดหรือเพิ่มเติมจากเอกสารที่ระบุไว้ในสัญญา</w:t>
      </w:r>
    </w:p>
    <w:p w14:paraId="41C0590F" w14:textId="77777777" w:rsidR="00A155A1" w:rsidRPr="00A155A1" w:rsidRDefault="00A155A1" w:rsidP="00A155A1">
      <w:r w:rsidRPr="00A155A1">
        <w:rPr>
          <w:b/>
          <w:bCs/>
          <w:cs/>
        </w:rPr>
        <w:t>เหตุผลที่ศาลวินิจฉัย</w:t>
      </w:r>
      <w:r w:rsidRPr="00A155A1">
        <w:br/>
      </w:r>
      <w:r w:rsidRPr="00A155A1">
        <w:rPr>
          <w:cs/>
        </w:rPr>
        <w:t>ศาลเห็นว่า ข้อความในสัญญานั้นชัดเจนอยู่แล้ว ไม่มีเหตุอันควรที่จะตีความเพิ่มเติมโดยอ้างเจตนาแฝงของคู่สัญญา การนำพยานบุคคลมาสืบเพื่อแสดงเจตนาแท้จริงจึงขัดต่อกฎหมาย</w:t>
      </w:r>
    </w:p>
    <w:p w14:paraId="0B257E54" w14:textId="77777777" w:rsidR="00A155A1" w:rsidRPr="00A155A1" w:rsidRDefault="00A155A1" w:rsidP="00A155A1">
      <w:r w:rsidRPr="00A155A1">
        <w:rPr>
          <w:cs/>
        </w:rPr>
        <w:t>สรุปคำพิพากษา</w:t>
      </w:r>
      <w:r w:rsidRPr="00A155A1">
        <w:br/>
      </w:r>
      <w:r w:rsidRPr="00A155A1">
        <w:rPr>
          <w:cs/>
        </w:rPr>
        <w:t>หากข้อความในสัญญาชัดเจนแล้ว</w:t>
      </w:r>
      <w:r w:rsidRPr="00A155A1">
        <w:t xml:space="preserve"> </w:t>
      </w:r>
      <w:r w:rsidRPr="00A155A1">
        <w:rPr>
          <w:b/>
          <w:bCs/>
          <w:cs/>
        </w:rPr>
        <w:t>ไม่อาจนำพยานบุคคลมาสืบแสดงเจตนาแท้จริง</w:t>
      </w:r>
      <w:r w:rsidRPr="00A155A1">
        <w:t xml:space="preserve"> </w:t>
      </w:r>
      <w:r w:rsidRPr="00A155A1">
        <w:rPr>
          <w:cs/>
        </w:rPr>
        <w:t>ได้ตามข้อห้ามในกฎหมายวิธีพิจารณาความแพ่ง เพราะถือว่าข้อความในเอกสารเป็นที่สุดในการแสดงเจตนาของคู่สัญญา</w:t>
      </w:r>
    </w:p>
    <w:p w14:paraId="386C02E1" w14:textId="2C06C1C3" w:rsidR="00A155A1" w:rsidRPr="00A155A1" w:rsidRDefault="00A155A1" w:rsidP="00A155A1">
      <w:r w:rsidRPr="00A155A1">
        <w:rPr>
          <w:cs/>
        </w:rPr>
        <w:t>ท้าย</w:t>
      </w:r>
      <w:r w:rsidRPr="00A155A1">
        <w:br/>
      </w:r>
      <w:r w:rsidRPr="00A155A1">
        <w:rPr>
          <w:cs/>
        </w:rPr>
        <w:t xml:space="preserve">มีปัญหาปรึกษา ทนายภูวงษ์ </w:t>
      </w:r>
      <w:r w:rsidRPr="00A155A1">
        <w:t xml:space="preserve">081-803-4097 </w:t>
      </w:r>
      <w:r w:rsidRPr="00A155A1">
        <w:rPr>
          <w:cs/>
        </w:rPr>
        <w:t xml:space="preserve">หรือ ไลน์ ไอดี </w:t>
      </w:r>
      <w:r w:rsidRPr="00A155A1">
        <w:t>@lawyerpoovong</w:t>
      </w:r>
      <w:r w:rsidRPr="00A155A1">
        <w:br/>
      </w:r>
      <w:r w:rsidRPr="00A155A1">
        <w:rPr>
          <w:cs/>
        </w:rPr>
        <w:lastRenderedPageBreak/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A155A1">
        <w:rPr>
          <w:cs/>
        </w:rPr>
        <w:t>เวป</w:t>
      </w:r>
      <w:proofErr w:type="spellEnd"/>
      <w:r w:rsidRPr="00A155A1">
        <w:rPr>
          <w:cs/>
        </w:rPr>
        <w:t>ไซ</w:t>
      </w:r>
      <w:proofErr w:type="spellStart"/>
      <w:r w:rsidRPr="00A155A1">
        <w:rPr>
          <w:cs/>
        </w:rPr>
        <w:t>ต์</w:t>
      </w:r>
      <w:proofErr w:type="spellEnd"/>
      <w:r w:rsidRPr="00A155A1">
        <w:t xml:space="preserve"> </w:t>
      </w:r>
      <w:hyperlink r:id="rId4" w:history="1">
        <w:r w:rsidRPr="00A155A1">
          <w:rPr>
            <w:rStyle w:val="Hyperlink"/>
          </w:rPr>
          <w:t>ww.</w:t>
        </w:r>
        <w:r w:rsidRPr="00A155A1">
          <w:rPr>
            <w:rStyle w:val="Hyperlink"/>
            <w:cs/>
          </w:rPr>
          <w:t>สู้คดี.</w:t>
        </w:r>
        <w:r w:rsidRPr="00A155A1">
          <w:rPr>
            <w:rStyle w:val="Hyperlink"/>
          </w:rPr>
          <w:t>com</w:t>
        </w:r>
      </w:hyperlink>
      <w:r w:rsidRPr="00A155A1">
        <w:t xml:space="preserve"> </w:t>
      </w:r>
      <w:r w:rsidRPr="00A155A1">
        <w:rPr>
          <w:cs/>
        </w:rPr>
        <w:t>และ</w:t>
      </w:r>
      <w:r w:rsidRPr="00A155A1">
        <w:t xml:space="preserve"> </w:t>
      </w:r>
      <w:hyperlink r:id="rId5" w:history="1">
        <w:r w:rsidRPr="00A155A1">
          <w:rPr>
            <w:rStyle w:val="Hyperlink"/>
          </w:rPr>
          <w:t>www.</w:t>
        </w:r>
        <w:r w:rsidRPr="00A155A1">
          <w:rPr>
            <w:rStyle w:val="Hyperlink"/>
            <w:cs/>
          </w:rPr>
          <w:t>ทนายภูวงษ์.</w:t>
        </w:r>
        <w:r w:rsidRPr="00A155A1">
          <w:rPr>
            <w:rStyle w:val="Hyperlink"/>
          </w:rPr>
          <w:t>com</w:t>
        </w:r>
      </w:hyperlink>
    </w:p>
    <w:p w14:paraId="423052C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5A1"/>
    <w:rsid w:val="000554F2"/>
    <w:rsid w:val="001C2C6A"/>
    <w:rsid w:val="002B6232"/>
    <w:rsid w:val="00392E2E"/>
    <w:rsid w:val="00A155A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C0DAC"/>
  <w15:chartTrackingRefBased/>
  <w15:docId w15:val="{2CD9F361-28EC-4FF9-A426-F4BDC2C91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55A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55A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55A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55A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55A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55A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55A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55A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55A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55A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55A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55A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55A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55A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55A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55A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55A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55A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55A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155A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55A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155A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155A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55A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55A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155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55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55A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55A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155A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5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.&#3626;&#3641;&#3657;&#3588;&#3604;&#3637;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2025-07-28T04:20:00Z</dcterms:created>
  <dcterms:modified xsi:type="dcterms:W3CDTF">2025-07-28T04:21:00Z</dcterms:modified>
</cp:coreProperties>
</file>