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994BC" w14:textId="3B5E7750" w:rsidR="0033718E" w:rsidRPr="0033718E" w:rsidRDefault="0033718E" w:rsidP="0033718E">
      <w:r w:rsidRPr="0033718E">
        <w:rPr>
          <w:cs/>
        </w:rPr>
        <w:t xml:space="preserve">ลำดับที่ </w:t>
      </w:r>
      <w:r w:rsidRPr="0033718E">
        <w:t>000588</w:t>
      </w:r>
      <w:r w:rsidRPr="0033718E">
        <w:br/>
      </w:r>
      <w:r w:rsidRPr="0033718E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33718E">
        <w:rPr>
          <w:cs/>
        </w:rPr>
        <w:t xml:space="preserve">ดุลพินิจศาลอุทธรณ์ในการลดโทษ และข้อจำกัดตามมาตรา </w:t>
      </w:r>
      <w:r w:rsidRPr="0033718E">
        <w:t>212</w:t>
      </w:r>
    </w:p>
    <w:p w14:paraId="628BD73F" w14:textId="44E05508" w:rsidR="0033718E" w:rsidRPr="0033718E" w:rsidRDefault="0033718E" w:rsidP="0033718E">
      <w:r w:rsidRPr="0033718E">
        <w:rPr>
          <w:cs/>
        </w:rPr>
        <w:t>วิเคราะห์ฎีกาที่</w:t>
      </w:r>
      <w:r>
        <w:t xml:space="preserve"> </w:t>
      </w:r>
      <w:r w:rsidRPr="0033718E">
        <w:t>6746/2537</w:t>
      </w:r>
    </w:p>
    <w:p w14:paraId="29CD7BC2" w14:textId="77777777" w:rsidR="0033718E" w:rsidRPr="0033718E" w:rsidRDefault="0033718E" w:rsidP="0033718E">
      <w:r w:rsidRPr="0033718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3718E">
        <w:t>0818034097</w:t>
      </w:r>
    </w:p>
    <w:p w14:paraId="4B117C38" w14:textId="77777777" w:rsidR="0033718E" w:rsidRPr="0033718E" w:rsidRDefault="0033718E" w:rsidP="0033718E">
      <w:r w:rsidRPr="0033718E">
        <w:rPr>
          <w:cs/>
        </w:rPr>
        <w:t>กฎหมายเกี่ยวกับอะไร</w:t>
      </w:r>
      <w:r w:rsidRPr="0033718E">
        <w:br/>
        <w:t xml:space="preserve">– </w:t>
      </w:r>
      <w:r w:rsidRPr="0033718E">
        <w:rPr>
          <w:cs/>
        </w:rPr>
        <w:t xml:space="preserve">ประมวลกฎหมายวิธีพิจารณาความอาญา มาตรา </w:t>
      </w:r>
      <w:r w:rsidRPr="0033718E">
        <w:t>195, 212, 225</w:t>
      </w:r>
      <w:r w:rsidRPr="0033718E">
        <w:br/>
        <w:t xml:space="preserve">– </w:t>
      </w:r>
      <w:r w:rsidRPr="0033718E">
        <w:rPr>
          <w:cs/>
        </w:rPr>
        <w:t xml:space="preserve">ประมวลกฎหมายอาญา มาตรา </w:t>
      </w:r>
      <w:r w:rsidRPr="0033718E">
        <w:t>55</w:t>
      </w:r>
      <w:r w:rsidRPr="0033718E">
        <w:br/>
        <w:t xml:space="preserve">– </w:t>
      </w:r>
      <w:r w:rsidRPr="0033718E">
        <w:rPr>
          <w:cs/>
        </w:rPr>
        <w:t xml:space="preserve">พระราชบัญญัติจราจรทางบก พ.ศ. </w:t>
      </w:r>
      <w:r w:rsidRPr="0033718E">
        <w:t xml:space="preserve">2522 </w:t>
      </w:r>
      <w:r w:rsidRPr="0033718E">
        <w:rPr>
          <w:cs/>
        </w:rPr>
        <w:t xml:space="preserve">มาตรา </w:t>
      </w:r>
      <w:r w:rsidRPr="0033718E">
        <w:t xml:space="preserve">78, 160 </w:t>
      </w:r>
      <w:r w:rsidRPr="0033718E">
        <w:rPr>
          <w:cs/>
        </w:rPr>
        <w:t>วรรคสอง</w:t>
      </w:r>
    </w:p>
    <w:p w14:paraId="78D759C4" w14:textId="77777777" w:rsidR="0033718E" w:rsidRPr="0033718E" w:rsidRDefault="0033718E" w:rsidP="0033718E">
      <w:r w:rsidRPr="0033718E">
        <w:rPr>
          <w:cs/>
        </w:rPr>
        <w:t xml:space="preserve">วิเคราะห์คำพิพากษาฎีกาเลขที่ </w:t>
      </w:r>
      <w:r w:rsidRPr="0033718E">
        <w:t>6746/2537</w:t>
      </w:r>
      <w:r w:rsidRPr="0033718E">
        <w:br/>
      </w:r>
      <w:r w:rsidRPr="0033718E">
        <w:rPr>
          <w:b/>
          <w:bCs/>
          <w:cs/>
        </w:rPr>
        <w:t>ข้อเท็จจริง</w:t>
      </w:r>
      <w:r w:rsidRPr="0033718E">
        <w:br/>
      </w:r>
      <w:r w:rsidRPr="0033718E">
        <w:rPr>
          <w:cs/>
        </w:rPr>
        <w:t>ในคดีนี้ ศาลชั้นต้นได้พิพากษาลงโทษจำเลย และต่อมา</w:t>
      </w:r>
      <w:r w:rsidRPr="0033718E">
        <w:t xml:space="preserve"> </w:t>
      </w:r>
      <w:r w:rsidRPr="0033718E">
        <w:rPr>
          <w:i/>
          <w:iCs/>
          <w:cs/>
        </w:rPr>
        <w:t>โจทก์</w:t>
      </w:r>
      <w:r w:rsidRPr="0033718E">
        <w:t xml:space="preserve"> </w:t>
      </w:r>
      <w:r w:rsidRPr="0033718E">
        <w:rPr>
          <w:cs/>
        </w:rPr>
        <w:t>ได้อุทธรณ์ขอให้ลงโทษจำเลยให้หนักขึ้น โดยไม่รอการลงโทษจำคุก</w:t>
      </w:r>
    </w:p>
    <w:p w14:paraId="789BA3D8" w14:textId="77777777" w:rsidR="0033718E" w:rsidRPr="0033718E" w:rsidRDefault="0033718E" w:rsidP="0033718E">
      <w:r w:rsidRPr="0033718E">
        <w:rPr>
          <w:b/>
          <w:bCs/>
          <w:cs/>
        </w:rPr>
        <w:t>ข้อกฎหมายและดุลพินิจของศาล</w:t>
      </w:r>
      <w:r w:rsidRPr="0033718E">
        <w:br/>
        <w:t xml:space="preserve">– </w:t>
      </w:r>
      <w:r w:rsidRPr="0033718E">
        <w:rPr>
          <w:cs/>
        </w:rPr>
        <w:t>คำพิพากษาศาลชั้นต้นจะยังไม่ถึงที่สุด หากมีการอุทธรณ์ของคู่ความฝ่ายใดฝ่ายหนึ่ง</w:t>
      </w:r>
      <w:r w:rsidRPr="0033718E">
        <w:br/>
        <w:t xml:space="preserve">– </w:t>
      </w:r>
      <w:r w:rsidRPr="0033718E">
        <w:rPr>
          <w:cs/>
        </w:rPr>
        <w:t>ศาลอุทธรณ์มีอำนาจใช้ดุลพินิจแก้ไขโทษให้เหมาะสมได้ แม้คู่ความมิได้อุทธรณ์เรื่องโทษโดยเฉพาะก็ตาม</w:t>
      </w:r>
      <w:r w:rsidRPr="0033718E">
        <w:br/>
        <w:t xml:space="preserve">– </w:t>
      </w:r>
      <w:r w:rsidRPr="0033718E">
        <w:rPr>
          <w:cs/>
        </w:rPr>
        <w:t xml:space="preserve">อย่างไรก็ดี หากศาลอุทธรณ์จะ "เพิ่มโทษ" จำเลย จะทำได้ก็ต่อเมื่อโจทก์ได้อุทธรณ์ในทำนองนั้น (ตาม มาตรา </w:t>
      </w:r>
      <w:r w:rsidRPr="0033718E">
        <w:t>212)</w:t>
      </w:r>
      <w:r w:rsidRPr="0033718E">
        <w:br/>
        <w:t xml:space="preserve">– </w:t>
      </w:r>
      <w:r w:rsidRPr="0033718E">
        <w:rPr>
          <w:cs/>
        </w:rPr>
        <w:t>กรณีนี้</w:t>
      </w:r>
      <w:r w:rsidRPr="0033718E">
        <w:t xml:space="preserve"> </w:t>
      </w:r>
      <w:r w:rsidRPr="0033718E">
        <w:rPr>
          <w:i/>
          <w:iCs/>
          <w:cs/>
        </w:rPr>
        <w:t>โจทก์อุทธรณ์ขอให้เพิ่มโทษ</w:t>
      </w:r>
      <w:r w:rsidRPr="0033718E">
        <w:t xml:space="preserve"> </w:t>
      </w:r>
      <w:r w:rsidRPr="0033718E">
        <w:rPr>
          <w:cs/>
        </w:rPr>
        <w:t>แล้ว แต่ศาลอุทธรณ์กลับลดโทษลง ซึ่งไม่เป็นการต้องห้ามตามกฎหมาย</w:t>
      </w:r>
      <w:r w:rsidRPr="0033718E">
        <w:br/>
        <w:t xml:space="preserve">– </w:t>
      </w:r>
      <w:r w:rsidRPr="0033718E">
        <w:rPr>
          <w:cs/>
        </w:rPr>
        <w:t xml:space="preserve">ส่วนบทบัญญัติมาตรา </w:t>
      </w:r>
      <w:r w:rsidRPr="0033718E">
        <w:t xml:space="preserve">55 </w:t>
      </w:r>
      <w:r w:rsidRPr="0033718E">
        <w:rPr>
          <w:cs/>
        </w:rPr>
        <w:t xml:space="preserve">ที่ให้อำนาจศาลลดโทษตามเหตุบรรเทาโทษนั้น ใช้ไม่ได้ในกรณีนี้ เพราะศาลอุทธรณ์ลดโทษตามดุลพินิจ ไม่ใช่ตามมาตรา </w:t>
      </w:r>
      <w:r w:rsidRPr="0033718E">
        <w:t>55</w:t>
      </w:r>
      <w:r w:rsidRPr="0033718E">
        <w:br/>
        <w:t xml:space="preserve">– </w:t>
      </w:r>
      <w:r w:rsidRPr="0033718E">
        <w:rPr>
          <w:cs/>
        </w:rPr>
        <w:t xml:space="preserve">โจทก์มิได้ฟ้องกล่าวอ้างว่า การที่จำเลยไม่แจ้งเจ้าหน้าที่และไม่ช่วยเหลือเป็นเหตุให้มีผู้ถึงแก่ความตาย ดังนั้น จึงไม่อาจลงโทษจำเลยตาม มาตรา </w:t>
      </w:r>
      <w:r w:rsidRPr="0033718E">
        <w:t xml:space="preserve">160 </w:t>
      </w:r>
      <w:r w:rsidRPr="0033718E">
        <w:rPr>
          <w:cs/>
        </w:rPr>
        <w:t>วรรคสอง ได้</w:t>
      </w:r>
      <w:r w:rsidRPr="0033718E">
        <w:br/>
        <w:t xml:space="preserve">– </w:t>
      </w:r>
      <w:r w:rsidRPr="0033718E">
        <w:rPr>
          <w:cs/>
        </w:rPr>
        <w:t xml:space="preserve">อย่างไรก็ตาม ศาลฎีกายกประเด็นนี้ขึ้นวินิจฉัยเองได้ เนื่องจากเป็นเรื่องเกี่ยวกับความสงบเรียบร้อยของประชาชน ตาม มาตรา </w:t>
      </w:r>
      <w:r w:rsidRPr="0033718E">
        <w:t xml:space="preserve">195 </w:t>
      </w:r>
      <w:r w:rsidRPr="0033718E">
        <w:rPr>
          <w:cs/>
        </w:rPr>
        <w:t xml:space="preserve">วรรคสอง ประกอบ มาตรา </w:t>
      </w:r>
      <w:r w:rsidRPr="0033718E">
        <w:t>225</w:t>
      </w:r>
    </w:p>
    <w:p w14:paraId="05E98830" w14:textId="77777777" w:rsidR="0033718E" w:rsidRPr="0033718E" w:rsidRDefault="0033718E" w:rsidP="0033718E">
      <w:r w:rsidRPr="0033718E">
        <w:rPr>
          <w:cs/>
        </w:rPr>
        <w:lastRenderedPageBreak/>
        <w:t>สรุปคำพิพากษา</w:t>
      </w:r>
      <w:r w:rsidRPr="0033718E">
        <w:br/>
      </w:r>
      <w:r w:rsidRPr="0033718E">
        <w:rPr>
          <w:cs/>
        </w:rPr>
        <w:t xml:space="preserve">แม้โจทก์จะอุทธรณ์ขอให้ลงโทษจำเลยหนักขึ้น แต่ศาลอุทธรณ์กลับใช้ดุลพินิจลดโทษจำคุกลง ซึ่งสามารถทำได้ ไม่เป็นการต้องห้ามตามมาตรา </w:t>
      </w:r>
      <w:r w:rsidRPr="0033718E">
        <w:t xml:space="preserve">212 </w:t>
      </w:r>
      <w:r w:rsidRPr="0033718E">
        <w:rPr>
          <w:cs/>
        </w:rPr>
        <w:t xml:space="preserve">ส่วนประเด็นว่าจำเลยไม่แจ้งเจ้าหน้าที่และไม่ช่วยเหลือจะเป็นเหตุให้ลงโทษหนักขึ้นตาม พ.ร.บ.จราจรฯ มาตรา </w:t>
      </w:r>
      <w:r w:rsidRPr="0033718E">
        <w:t xml:space="preserve">160 </w:t>
      </w:r>
      <w:r w:rsidRPr="0033718E">
        <w:rPr>
          <w:cs/>
        </w:rPr>
        <w:t>วรรคสอง ได้นั้น โจทก์มิได้ฟ้องอ้างเหตุนี้ ศาลจึงไม่อาจลงโทษได้ และเป็นปัญหาด้านความสงบเรียบร้อยที่ศาลฎีกาหยิบยกขึ้นวินิจฉัยเองได้</w:t>
      </w:r>
    </w:p>
    <w:p w14:paraId="14321344" w14:textId="4476453C" w:rsidR="002B6232" w:rsidRDefault="0033718E">
      <w:r w:rsidRPr="0033718E">
        <w:rPr>
          <w:b/>
          <w:bCs/>
          <w:cs/>
        </w:rPr>
        <w:t xml:space="preserve">มีปัญหาปรึกษา ทนายภูวงษ์ </w:t>
      </w:r>
      <w:r w:rsidRPr="0033718E">
        <w:rPr>
          <w:b/>
          <w:bCs/>
        </w:rPr>
        <w:t xml:space="preserve">081-803-4097 </w:t>
      </w:r>
      <w:r w:rsidRPr="0033718E">
        <w:rPr>
          <w:b/>
          <w:bCs/>
          <w:cs/>
        </w:rPr>
        <w:t xml:space="preserve">หรือ ไลน์ ไอดี </w:t>
      </w:r>
      <w:r w:rsidRPr="0033718E">
        <w:rPr>
          <w:b/>
          <w:bCs/>
        </w:rPr>
        <w:t xml:space="preserve">@lawyerpoovong </w:t>
      </w:r>
      <w:r w:rsidRPr="0033718E">
        <w:rPr>
          <w:b/>
          <w:bCs/>
          <w:cs/>
        </w:rPr>
        <w:t>ทุกปัญหามีทางออก</w:t>
      </w:r>
      <w:r w:rsidRPr="0033718E">
        <w:rPr>
          <w:b/>
          <w:bCs/>
        </w:rPr>
        <w:t xml:space="preserve"> </w:t>
      </w:r>
      <w:r w:rsidRPr="0033718E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33718E">
        <w:rPr>
          <w:b/>
          <w:bCs/>
          <w:cs/>
        </w:rPr>
        <w:t>เวป</w:t>
      </w:r>
      <w:proofErr w:type="spellEnd"/>
      <w:r w:rsidRPr="0033718E">
        <w:rPr>
          <w:b/>
          <w:bCs/>
          <w:cs/>
        </w:rPr>
        <w:t>ไซ</w:t>
      </w:r>
      <w:proofErr w:type="spellStart"/>
      <w:r w:rsidRPr="0033718E">
        <w:rPr>
          <w:b/>
          <w:bCs/>
          <w:cs/>
        </w:rPr>
        <w:t>ต์</w:t>
      </w:r>
      <w:proofErr w:type="spellEnd"/>
      <w:r w:rsidRPr="0033718E">
        <w:rPr>
          <w:b/>
          <w:bCs/>
        </w:rPr>
        <w:t xml:space="preserve"> </w:t>
      </w:r>
      <w:hyperlink r:id="rId4" w:history="1">
        <w:r w:rsidRPr="0033718E">
          <w:rPr>
            <w:rStyle w:val="Hyperlink"/>
            <w:b/>
            <w:bCs/>
          </w:rPr>
          <w:t>www.</w:t>
        </w:r>
        <w:r w:rsidRPr="0033718E">
          <w:rPr>
            <w:rStyle w:val="Hyperlink"/>
            <w:b/>
            <w:bCs/>
            <w:cs/>
          </w:rPr>
          <w:t>สู้คดี.</w:t>
        </w:r>
        <w:r w:rsidRPr="0033718E">
          <w:rPr>
            <w:rStyle w:val="Hyperlink"/>
            <w:b/>
            <w:bCs/>
          </w:rPr>
          <w:t>com</w:t>
        </w:r>
      </w:hyperlink>
      <w:r w:rsidRPr="0033718E">
        <w:rPr>
          <w:b/>
          <w:bCs/>
        </w:rPr>
        <w:t xml:space="preserve"> </w:t>
      </w:r>
      <w:r w:rsidRPr="0033718E">
        <w:rPr>
          <w:b/>
          <w:bCs/>
          <w:cs/>
        </w:rPr>
        <w:t>และ</w:t>
      </w:r>
      <w:r w:rsidRPr="0033718E">
        <w:rPr>
          <w:b/>
          <w:bCs/>
        </w:rPr>
        <w:t xml:space="preserve"> </w:t>
      </w:r>
      <w:hyperlink r:id="rId5" w:history="1">
        <w:r w:rsidRPr="0033718E">
          <w:rPr>
            <w:rStyle w:val="Hyperlink"/>
            <w:b/>
            <w:bCs/>
          </w:rPr>
          <w:t>www.</w:t>
        </w:r>
        <w:r w:rsidRPr="0033718E">
          <w:rPr>
            <w:rStyle w:val="Hyperlink"/>
            <w:b/>
            <w:bCs/>
            <w:cs/>
          </w:rPr>
          <w:t>ทนายภูวงษ์.</w:t>
        </w:r>
        <w:r w:rsidRPr="0033718E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18E"/>
    <w:rsid w:val="000554F2"/>
    <w:rsid w:val="001C2C6A"/>
    <w:rsid w:val="002B6232"/>
    <w:rsid w:val="0033718E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891A7"/>
  <w15:chartTrackingRefBased/>
  <w15:docId w15:val="{F9289BFC-3057-4509-B08B-181A99C7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718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718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718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71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71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718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718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718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71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718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718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718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718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718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71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71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71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71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718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3718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71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371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3718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718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718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37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7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718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71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71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2025-07-28T14:32:00Z</dcterms:created>
  <dcterms:modified xsi:type="dcterms:W3CDTF">2025-07-28T14:33:00Z</dcterms:modified>
</cp:coreProperties>
</file>